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B99AE" w14:textId="77777777" w:rsidR="007C1D43" w:rsidRPr="00EB3A15" w:rsidRDefault="007C1D43" w:rsidP="005F6B09">
      <w:pPr>
        <w:ind w:left="-1440"/>
        <w:rPr>
          <w:rFonts w:ascii="Hypatia Sans Pro" w:hAnsi="Hypatia Sans Pro"/>
          <w:sz w:val="24"/>
          <w:szCs w:val="24"/>
        </w:rPr>
        <w:sectPr w:rsidR="007C1D43" w:rsidRPr="00EB3A15" w:rsidSect="007C1D43">
          <w:headerReference w:type="default" r:id="rId8"/>
          <w:footerReference w:type="default" r:id="rId9"/>
          <w:pgSz w:w="12240" w:h="15840"/>
          <w:pgMar w:top="1440" w:right="1440" w:bottom="720" w:left="3024" w:header="2880" w:footer="1440" w:gutter="0"/>
          <w:cols w:num="2" w:space="720"/>
          <w:docGrid w:linePitch="360"/>
        </w:sectPr>
      </w:pPr>
    </w:p>
    <w:p w14:paraId="5460157A" w14:textId="3474BE31" w:rsidR="005F6B09" w:rsidRPr="00EB3A15" w:rsidRDefault="007F6126" w:rsidP="005F6B09">
      <w:pPr>
        <w:ind w:left="-1440"/>
        <w:rPr>
          <w:rFonts w:ascii="Hypatia Sans Pro" w:hAnsi="Hypatia Sans Pro"/>
          <w:i/>
          <w:iCs/>
          <w:szCs w:val="20"/>
        </w:rPr>
      </w:pPr>
      <w:r w:rsidRPr="00EB3A15">
        <w:rPr>
          <w:rFonts w:ascii="Hypatia Sans Pro" w:hAnsi="Hypatia Sans Pro"/>
          <w:b/>
          <w:bCs/>
          <w:sz w:val="24"/>
          <w:szCs w:val="24"/>
        </w:rPr>
        <w:lastRenderedPageBreak/>
        <w:t>Reduction in Uninsured Rates in the R</w:t>
      </w:r>
      <w:r w:rsidR="005F6B09" w:rsidRPr="00EB3A15">
        <w:rPr>
          <w:rFonts w:ascii="Hypatia Sans Pro" w:hAnsi="Hypatia Sans Pro"/>
          <w:b/>
          <w:bCs/>
          <w:sz w:val="24"/>
          <w:szCs w:val="24"/>
        </w:rPr>
        <w:t>egion</w:t>
      </w:r>
      <w:r w:rsidR="005F6B09" w:rsidRPr="00EB3A15">
        <w:rPr>
          <w:rFonts w:ascii="Hypatia Sans Pro" w:hAnsi="Hypatia Sans Pro"/>
          <w:sz w:val="24"/>
          <w:szCs w:val="24"/>
        </w:rPr>
        <w:t xml:space="preserve"> </w:t>
      </w:r>
      <w:r w:rsidR="007C1D43" w:rsidRPr="00EB3A15">
        <w:rPr>
          <w:rFonts w:ascii="Hypatia Sans Pro" w:hAnsi="Hypatia Sans Pro"/>
          <w:sz w:val="24"/>
          <w:szCs w:val="24"/>
        </w:rPr>
        <w:br/>
      </w:r>
      <w:r w:rsidR="005F6B09" w:rsidRPr="00EB3A15">
        <w:rPr>
          <w:rFonts w:ascii="Hypatia Sans Pro" w:hAnsi="Hypatia Sans Pro"/>
          <w:i/>
          <w:iCs/>
          <w:szCs w:val="20"/>
        </w:rPr>
        <w:t>(Source: Health Benefit Exchange)</w:t>
      </w:r>
    </w:p>
    <w:p w14:paraId="2C153392" w14:textId="77777777" w:rsidR="002F73E7" w:rsidRPr="00EB3A15" w:rsidRDefault="002F73E7" w:rsidP="005F6B09">
      <w:pPr>
        <w:ind w:left="-1440"/>
        <w:rPr>
          <w:rFonts w:ascii="Hypatia Sans Pro" w:hAnsi="Hypatia Sans Pro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593" w:tblpY="141"/>
        <w:tblW w:w="0" w:type="auto"/>
        <w:tblLook w:val="04A0" w:firstRow="1" w:lastRow="0" w:firstColumn="1" w:lastColumn="0" w:noHBand="0" w:noVBand="1"/>
      </w:tblPr>
      <w:tblGrid>
        <w:gridCol w:w="1370"/>
        <w:gridCol w:w="935"/>
        <w:gridCol w:w="810"/>
      </w:tblGrid>
      <w:tr w:rsidR="002F73E7" w:rsidRPr="00EB3A15" w14:paraId="0896AF60" w14:textId="77777777" w:rsidTr="00B30F42">
        <w:trPr>
          <w:trHeight w:val="309"/>
        </w:trPr>
        <w:tc>
          <w:tcPr>
            <w:tcW w:w="1370" w:type="dxa"/>
            <w:shd w:val="clear" w:color="auto" w:fill="31B1CA"/>
            <w:vAlign w:val="center"/>
          </w:tcPr>
          <w:p w14:paraId="0E1B0B64" w14:textId="77777777" w:rsidR="007C1D43" w:rsidRPr="00EB3A15" w:rsidRDefault="007C1D43" w:rsidP="002F73E7">
            <w:pPr>
              <w:jc w:val="center"/>
              <w:rPr>
                <w:rFonts w:ascii="Hypatia Sans Pro" w:hAnsi="Hypatia Sans Pro"/>
              </w:rPr>
            </w:pPr>
          </w:p>
        </w:tc>
        <w:tc>
          <w:tcPr>
            <w:tcW w:w="935" w:type="dxa"/>
            <w:shd w:val="clear" w:color="auto" w:fill="31B1CA"/>
            <w:vAlign w:val="center"/>
          </w:tcPr>
          <w:p w14:paraId="3E90BBFE" w14:textId="77777777" w:rsidR="007C1D43" w:rsidRPr="00EB3A15" w:rsidRDefault="007C1D43" w:rsidP="002F73E7">
            <w:pPr>
              <w:jc w:val="center"/>
              <w:rPr>
                <w:rFonts w:ascii="Hypatia Sans Pro" w:hAnsi="Hypatia Sans Pro"/>
                <w:b/>
                <w:iCs/>
                <w:color w:val="FFFFFF" w:themeColor="background1"/>
              </w:rPr>
            </w:pPr>
            <w:r w:rsidRPr="00EB3A15">
              <w:rPr>
                <w:rFonts w:ascii="Hypatia Sans Pro" w:hAnsi="Hypatia Sans Pro"/>
                <w:b/>
                <w:iCs/>
                <w:color w:val="FFFFFF" w:themeColor="background1"/>
              </w:rPr>
              <w:t>2014</w:t>
            </w:r>
          </w:p>
        </w:tc>
        <w:tc>
          <w:tcPr>
            <w:tcW w:w="810" w:type="dxa"/>
            <w:shd w:val="clear" w:color="auto" w:fill="31B1CA"/>
            <w:vAlign w:val="center"/>
          </w:tcPr>
          <w:p w14:paraId="5188CFBF" w14:textId="77777777" w:rsidR="007C1D43" w:rsidRPr="00EB3A15" w:rsidRDefault="007C1D43" w:rsidP="002F73E7">
            <w:pPr>
              <w:jc w:val="center"/>
              <w:rPr>
                <w:rFonts w:ascii="Hypatia Sans Pro" w:hAnsi="Hypatia Sans Pro"/>
                <w:b/>
                <w:iCs/>
                <w:color w:val="FFFFFF" w:themeColor="background1"/>
              </w:rPr>
            </w:pPr>
            <w:r w:rsidRPr="00EB3A15">
              <w:rPr>
                <w:rFonts w:ascii="Hypatia Sans Pro" w:hAnsi="Hypatia Sans Pro"/>
                <w:b/>
                <w:iCs/>
                <w:color w:val="FFFFFF" w:themeColor="background1"/>
              </w:rPr>
              <w:t>2016</w:t>
            </w:r>
          </w:p>
        </w:tc>
      </w:tr>
      <w:tr w:rsidR="002F73E7" w:rsidRPr="00EB3A15" w14:paraId="6D45958B" w14:textId="77777777" w:rsidTr="002F73E7">
        <w:tc>
          <w:tcPr>
            <w:tcW w:w="1370" w:type="dxa"/>
            <w:vAlign w:val="center"/>
          </w:tcPr>
          <w:p w14:paraId="17D2B950" w14:textId="77777777" w:rsidR="007C1D43" w:rsidRPr="00EB3A15" w:rsidRDefault="007C1D43" w:rsidP="002F73E7">
            <w:pPr>
              <w:jc w:val="center"/>
              <w:rPr>
                <w:rFonts w:ascii="Hypatia Sans Pro" w:hAnsi="Hypatia Sans Pro"/>
              </w:rPr>
            </w:pPr>
            <w:r w:rsidRPr="00EB3A15">
              <w:rPr>
                <w:rFonts w:ascii="Hypatia Sans Pro" w:hAnsi="Hypatia Sans Pro"/>
              </w:rPr>
              <w:t>Spokane</w:t>
            </w:r>
          </w:p>
        </w:tc>
        <w:tc>
          <w:tcPr>
            <w:tcW w:w="935" w:type="dxa"/>
            <w:vAlign w:val="center"/>
          </w:tcPr>
          <w:p w14:paraId="0A1BF7D3" w14:textId="77777777" w:rsidR="007C1D43" w:rsidRPr="00EB3A15" w:rsidRDefault="007C1D43" w:rsidP="002F73E7">
            <w:pPr>
              <w:jc w:val="center"/>
              <w:rPr>
                <w:rFonts w:ascii="Hypatia Sans Pro" w:hAnsi="Hypatia Sans Pro"/>
              </w:rPr>
            </w:pPr>
            <w:r w:rsidRPr="00EB3A15">
              <w:rPr>
                <w:rFonts w:ascii="Hypatia Sans Pro" w:hAnsi="Hypatia Sans Pro"/>
              </w:rPr>
              <w:t>13%</w:t>
            </w:r>
          </w:p>
        </w:tc>
        <w:tc>
          <w:tcPr>
            <w:tcW w:w="810" w:type="dxa"/>
            <w:vAlign w:val="center"/>
          </w:tcPr>
          <w:p w14:paraId="6DFF113F" w14:textId="77777777" w:rsidR="007C1D43" w:rsidRPr="00EB3A15" w:rsidRDefault="007C1D43" w:rsidP="002F73E7">
            <w:pPr>
              <w:jc w:val="center"/>
              <w:rPr>
                <w:rFonts w:ascii="Hypatia Sans Pro" w:hAnsi="Hypatia Sans Pro"/>
              </w:rPr>
            </w:pPr>
            <w:r w:rsidRPr="00EB3A15">
              <w:rPr>
                <w:rFonts w:ascii="Hypatia Sans Pro" w:hAnsi="Hypatia Sans Pro"/>
              </w:rPr>
              <w:t>3%</w:t>
            </w:r>
          </w:p>
        </w:tc>
      </w:tr>
      <w:tr w:rsidR="002F73E7" w:rsidRPr="00EB3A15" w14:paraId="4D187281" w14:textId="77777777" w:rsidTr="002F73E7">
        <w:tc>
          <w:tcPr>
            <w:tcW w:w="1370" w:type="dxa"/>
            <w:vAlign w:val="center"/>
          </w:tcPr>
          <w:p w14:paraId="2186F8D9" w14:textId="77777777" w:rsidR="007C1D43" w:rsidRPr="00EB3A15" w:rsidRDefault="007C1D43" w:rsidP="002F73E7">
            <w:pPr>
              <w:jc w:val="center"/>
              <w:rPr>
                <w:rFonts w:ascii="Hypatia Sans Pro" w:hAnsi="Hypatia Sans Pro"/>
              </w:rPr>
            </w:pPr>
            <w:r w:rsidRPr="00EB3A15">
              <w:rPr>
                <w:rFonts w:ascii="Hypatia Sans Pro" w:hAnsi="Hypatia Sans Pro"/>
              </w:rPr>
              <w:t>Lincoln</w:t>
            </w:r>
          </w:p>
        </w:tc>
        <w:tc>
          <w:tcPr>
            <w:tcW w:w="935" w:type="dxa"/>
            <w:vAlign w:val="center"/>
          </w:tcPr>
          <w:p w14:paraId="52056057" w14:textId="77777777" w:rsidR="007C1D43" w:rsidRPr="00EB3A15" w:rsidRDefault="007C1D43" w:rsidP="002F73E7">
            <w:pPr>
              <w:jc w:val="center"/>
              <w:rPr>
                <w:rFonts w:ascii="Hypatia Sans Pro" w:hAnsi="Hypatia Sans Pro"/>
              </w:rPr>
            </w:pPr>
            <w:r w:rsidRPr="00EB3A15">
              <w:rPr>
                <w:rFonts w:ascii="Hypatia Sans Pro" w:hAnsi="Hypatia Sans Pro"/>
              </w:rPr>
              <w:t>13%</w:t>
            </w:r>
          </w:p>
        </w:tc>
        <w:tc>
          <w:tcPr>
            <w:tcW w:w="810" w:type="dxa"/>
            <w:vAlign w:val="center"/>
          </w:tcPr>
          <w:p w14:paraId="334DDCB2" w14:textId="77777777" w:rsidR="007C1D43" w:rsidRPr="00EB3A15" w:rsidRDefault="007C1D43" w:rsidP="002F73E7">
            <w:pPr>
              <w:jc w:val="center"/>
              <w:rPr>
                <w:rFonts w:ascii="Hypatia Sans Pro" w:hAnsi="Hypatia Sans Pro"/>
              </w:rPr>
            </w:pPr>
            <w:r w:rsidRPr="00EB3A15">
              <w:rPr>
                <w:rFonts w:ascii="Hypatia Sans Pro" w:hAnsi="Hypatia Sans Pro"/>
              </w:rPr>
              <w:t>3%</w:t>
            </w:r>
          </w:p>
        </w:tc>
      </w:tr>
      <w:tr w:rsidR="002F73E7" w:rsidRPr="00EB3A15" w14:paraId="0FFBB104" w14:textId="77777777" w:rsidTr="002F73E7">
        <w:tc>
          <w:tcPr>
            <w:tcW w:w="1370" w:type="dxa"/>
            <w:vAlign w:val="center"/>
          </w:tcPr>
          <w:p w14:paraId="3DED9089" w14:textId="77777777" w:rsidR="007C1D43" w:rsidRPr="00EB3A15" w:rsidRDefault="007C1D43" w:rsidP="002F73E7">
            <w:pPr>
              <w:jc w:val="center"/>
              <w:rPr>
                <w:rFonts w:ascii="Hypatia Sans Pro" w:hAnsi="Hypatia Sans Pro"/>
              </w:rPr>
            </w:pPr>
            <w:r w:rsidRPr="00EB3A15">
              <w:rPr>
                <w:rFonts w:ascii="Hypatia Sans Pro" w:hAnsi="Hypatia Sans Pro"/>
              </w:rPr>
              <w:t>Adams</w:t>
            </w:r>
          </w:p>
        </w:tc>
        <w:tc>
          <w:tcPr>
            <w:tcW w:w="935" w:type="dxa"/>
            <w:vAlign w:val="center"/>
          </w:tcPr>
          <w:p w14:paraId="5DCEB128" w14:textId="77777777" w:rsidR="007C1D43" w:rsidRPr="00EB3A15" w:rsidRDefault="007C1D43" w:rsidP="002F73E7">
            <w:pPr>
              <w:jc w:val="center"/>
              <w:rPr>
                <w:rFonts w:ascii="Hypatia Sans Pro" w:hAnsi="Hypatia Sans Pro"/>
              </w:rPr>
            </w:pPr>
            <w:r w:rsidRPr="00EB3A15">
              <w:rPr>
                <w:rFonts w:ascii="Hypatia Sans Pro" w:hAnsi="Hypatia Sans Pro"/>
              </w:rPr>
              <w:t>23%</w:t>
            </w:r>
          </w:p>
        </w:tc>
        <w:tc>
          <w:tcPr>
            <w:tcW w:w="810" w:type="dxa"/>
            <w:vAlign w:val="center"/>
          </w:tcPr>
          <w:p w14:paraId="5D6F401E" w14:textId="77777777" w:rsidR="007C1D43" w:rsidRPr="00EB3A15" w:rsidRDefault="007C1D43" w:rsidP="002F73E7">
            <w:pPr>
              <w:jc w:val="center"/>
              <w:rPr>
                <w:rFonts w:ascii="Hypatia Sans Pro" w:hAnsi="Hypatia Sans Pro"/>
              </w:rPr>
            </w:pPr>
            <w:r w:rsidRPr="00EB3A15">
              <w:rPr>
                <w:rFonts w:ascii="Hypatia Sans Pro" w:hAnsi="Hypatia Sans Pro"/>
              </w:rPr>
              <w:t>3%</w:t>
            </w:r>
          </w:p>
        </w:tc>
      </w:tr>
      <w:tr w:rsidR="002F73E7" w:rsidRPr="00EB3A15" w14:paraId="78E09F8D" w14:textId="77777777" w:rsidTr="002F73E7">
        <w:tc>
          <w:tcPr>
            <w:tcW w:w="1370" w:type="dxa"/>
            <w:vAlign w:val="center"/>
          </w:tcPr>
          <w:p w14:paraId="45C2B26E" w14:textId="77777777" w:rsidR="007C1D43" w:rsidRPr="00EB3A15" w:rsidRDefault="007C1D43" w:rsidP="002F73E7">
            <w:pPr>
              <w:jc w:val="center"/>
              <w:rPr>
                <w:rFonts w:ascii="Hypatia Sans Pro" w:hAnsi="Hypatia Sans Pro"/>
              </w:rPr>
            </w:pPr>
            <w:r w:rsidRPr="00EB3A15">
              <w:rPr>
                <w:rFonts w:ascii="Hypatia Sans Pro" w:hAnsi="Hypatia Sans Pro"/>
              </w:rPr>
              <w:t>Pend Oreille</w:t>
            </w:r>
          </w:p>
        </w:tc>
        <w:tc>
          <w:tcPr>
            <w:tcW w:w="935" w:type="dxa"/>
            <w:vAlign w:val="center"/>
          </w:tcPr>
          <w:p w14:paraId="594406D8" w14:textId="77777777" w:rsidR="007C1D43" w:rsidRPr="00EB3A15" w:rsidRDefault="007C1D43" w:rsidP="002F73E7">
            <w:pPr>
              <w:jc w:val="center"/>
              <w:rPr>
                <w:rFonts w:ascii="Hypatia Sans Pro" w:hAnsi="Hypatia Sans Pro"/>
              </w:rPr>
            </w:pPr>
            <w:r w:rsidRPr="00EB3A15">
              <w:rPr>
                <w:rFonts w:ascii="Hypatia Sans Pro" w:hAnsi="Hypatia Sans Pro"/>
              </w:rPr>
              <w:t>14%</w:t>
            </w:r>
          </w:p>
        </w:tc>
        <w:tc>
          <w:tcPr>
            <w:tcW w:w="810" w:type="dxa"/>
            <w:vAlign w:val="center"/>
          </w:tcPr>
          <w:p w14:paraId="21C760FD" w14:textId="77777777" w:rsidR="007C1D43" w:rsidRPr="00EB3A15" w:rsidRDefault="007C1D43" w:rsidP="002F73E7">
            <w:pPr>
              <w:jc w:val="center"/>
              <w:rPr>
                <w:rFonts w:ascii="Hypatia Sans Pro" w:hAnsi="Hypatia Sans Pro"/>
              </w:rPr>
            </w:pPr>
            <w:r w:rsidRPr="00EB3A15">
              <w:rPr>
                <w:rFonts w:ascii="Hypatia Sans Pro" w:hAnsi="Hypatia Sans Pro"/>
              </w:rPr>
              <w:t>3%</w:t>
            </w:r>
          </w:p>
        </w:tc>
      </w:tr>
      <w:tr w:rsidR="002F73E7" w:rsidRPr="00EB3A15" w14:paraId="72F9F590" w14:textId="77777777" w:rsidTr="002F73E7">
        <w:tc>
          <w:tcPr>
            <w:tcW w:w="1370" w:type="dxa"/>
            <w:vAlign w:val="center"/>
          </w:tcPr>
          <w:p w14:paraId="5C55D5AA" w14:textId="77777777" w:rsidR="007C1D43" w:rsidRPr="00EB3A15" w:rsidRDefault="007C1D43" w:rsidP="002F73E7">
            <w:pPr>
              <w:jc w:val="center"/>
              <w:rPr>
                <w:rFonts w:ascii="Hypatia Sans Pro" w:hAnsi="Hypatia Sans Pro"/>
              </w:rPr>
            </w:pPr>
            <w:r w:rsidRPr="00EB3A15">
              <w:rPr>
                <w:rFonts w:ascii="Hypatia Sans Pro" w:hAnsi="Hypatia Sans Pro"/>
              </w:rPr>
              <w:t>Stevens</w:t>
            </w:r>
          </w:p>
        </w:tc>
        <w:tc>
          <w:tcPr>
            <w:tcW w:w="935" w:type="dxa"/>
            <w:vAlign w:val="center"/>
          </w:tcPr>
          <w:p w14:paraId="63F2B4E5" w14:textId="77777777" w:rsidR="007C1D43" w:rsidRPr="00EB3A15" w:rsidRDefault="007C1D43" w:rsidP="002F73E7">
            <w:pPr>
              <w:jc w:val="center"/>
              <w:rPr>
                <w:rFonts w:ascii="Hypatia Sans Pro" w:hAnsi="Hypatia Sans Pro"/>
              </w:rPr>
            </w:pPr>
            <w:r w:rsidRPr="00EB3A15">
              <w:rPr>
                <w:rFonts w:ascii="Hypatia Sans Pro" w:hAnsi="Hypatia Sans Pro"/>
              </w:rPr>
              <w:t>15%</w:t>
            </w:r>
          </w:p>
        </w:tc>
        <w:tc>
          <w:tcPr>
            <w:tcW w:w="810" w:type="dxa"/>
            <w:vAlign w:val="center"/>
          </w:tcPr>
          <w:p w14:paraId="7112A2BC" w14:textId="77777777" w:rsidR="007C1D43" w:rsidRPr="00EB3A15" w:rsidRDefault="007C1D43" w:rsidP="002F73E7">
            <w:pPr>
              <w:jc w:val="center"/>
              <w:rPr>
                <w:rFonts w:ascii="Hypatia Sans Pro" w:hAnsi="Hypatia Sans Pro"/>
              </w:rPr>
            </w:pPr>
            <w:r w:rsidRPr="00EB3A15">
              <w:rPr>
                <w:rFonts w:ascii="Hypatia Sans Pro" w:hAnsi="Hypatia Sans Pro"/>
              </w:rPr>
              <w:t>4%</w:t>
            </w:r>
          </w:p>
        </w:tc>
      </w:tr>
      <w:tr w:rsidR="002F73E7" w:rsidRPr="00EB3A15" w14:paraId="3EA895C5" w14:textId="77777777" w:rsidTr="002F73E7">
        <w:tc>
          <w:tcPr>
            <w:tcW w:w="1370" w:type="dxa"/>
            <w:vAlign w:val="center"/>
          </w:tcPr>
          <w:p w14:paraId="7A4E8B79" w14:textId="77777777" w:rsidR="007C1D43" w:rsidRPr="00EB3A15" w:rsidRDefault="007C1D43" w:rsidP="002F73E7">
            <w:pPr>
              <w:jc w:val="center"/>
              <w:rPr>
                <w:rFonts w:ascii="Hypatia Sans Pro" w:hAnsi="Hypatia Sans Pro"/>
              </w:rPr>
            </w:pPr>
            <w:r w:rsidRPr="00EB3A15">
              <w:rPr>
                <w:rFonts w:ascii="Hypatia Sans Pro" w:hAnsi="Hypatia Sans Pro"/>
              </w:rPr>
              <w:t>Ferry</w:t>
            </w:r>
          </w:p>
        </w:tc>
        <w:tc>
          <w:tcPr>
            <w:tcW w:w="935" w:type="dxa"/>
            <w:vAlign w:val="center"/>
          </w:tcPr>
          <w:p w14:paraId="32498C08" w14:textId="77777777" w:rsidR="007C1D43" w:rsidRPr="00EB3A15" w:rsidRDefault="007C1D43" w:rsidP="002F73E7">
            <w:pPr>
              <w:jc w:val="center"/>
              <w:rPr>
                <w:rFonts w:ascii="Hypatia Sans Pro" w:hAnsi="Hypatia Sans Pro"/>
              </w:rPr>
            </w:pPr>
            <w:r w:rsidRPr="00EB3A15">
              <w:rPr>
                <w:rFonts w:ascii="Hypatia Sans Pro" w:hAnsi="Hypatia Sans Pro"/>
              </w:rPr>
              <w:t>18%</w:t>
            </w:r>
          </w:p>
        </w:tc>
        <w:tc>
          <w:tcPr>
            <w:tcW w:w="810" w:type="dxa"/>
            <w:vAlign w:val="center"/>
          </w:tcPr>
          <w:p w14:paraId="4A8DD81C" w14:textId="77777777" w:rsidR="007C1D43" w:rsidRPr="00EB3A15" w:rsidRDefault="007C1D43" w:rsidP="002F73E7">
            <w:pPr>
              <w:jc w:val="center"/>
              <w:rPr>
                <w:rFonts w:ascii="Hypatia Sans Pro" w:hAnsi="Hypatia Sans Pro"/>
              </w:rPr>
            </w:pPr>
            <w:r w:rsidRPr="00EB3A15">
              <w:rPr>
                <w:rFonts w:ascii="Hypatia Sans Pro" w:hAnsi="Hypatia Sans Pro"/>
              </w:rPr>
              <w:t>7%</w:t>
            </w:r>
          </w:p>
        </w:tc>
      </w:tr>
      <w:tr w:rsidR="002F73E7" w:rsidRPr="00EB3A15" w14:paraId="01CCAC9A" w14:textId="77777777" w:rsidTr="002F73E7">
        <w:tc>
          <w:tcPr>
            <w:tcW w:w="1370" w:type="dxa"/>
            <w:vAlign w:val="center"/>
          </w:tcPr>
          <w:p w14:paraId="64867A1C" w14:textId="77777777" w:rsidR="007C1D43" w:rsidRPr="00EB3A15" w:rsidRDefault="007C1D43" w:rsidP="002F73E7">
            <w:pPr>
              <w:jc w:val="center"/>
              <w:rPr>
                <w:rFonts w:ascii="Hypatia Sans Pro" w:hAnsi="Hypatia Sans Pro"/>
              </w:rPr>
            </w:pPr>
            <w:r w:rsidRPr="00EB3A15">
              <w:rPr>
                <w:rFonts w:ascii="Hypatia Sans Pro" w:hAnsi="Hypatia Sans Pro"/>
              </w:rPr>
              <w:t>Whitman</w:t>
            </w:r>
          </w:p>
        </w:tc>
        <w:tc>
          <w:tcPr>
            <w:tcW w:w="935" w:type="dxa"/>
            <w:vAlign w:val="center"/>
          </w:tcPr>
          <w:p w14:paraId="16077252" w14:textId="77777777" w:rsidR="007C1D43" w:rsidRPr="00EB3A15" w:rsidRDefault="007C1D43" w:rsidP="002F73E7">
            <w:pPr>
              <w:jc w:val="center"/>
              <w:rPr>
                <w:rFonts w:ascii="Hypatia Sans Pro" w:hAnsi="Hypatia Sans Pro"/>
              </w:rPr>
            </w:pPr>
            <w:r w:rsidRPr="00EB3A15">
              <w:rPr>
                <w:rFonts w:ascii="Hypatia Sans Pro" w:hAnsi="Hypatia Sans Pro"/>
              </w:rPr>
              <w:t>14%</w:t>
            </w:r>
          </w:p>
        </w:tc>
        <w:tc>
          <w:tcPr>
            <w:tcW w:w="810" w:type="dxa"/>
            <w:vAlign w:val="center"/>
          </w:tcPr>
          <w:p w14:paraId="36B967B7" w14:textId="77777777" w:rsidR="007C1D43" w:rsidRPr="00EB3A15" w:rsidRDefault="007C1D43" w:rsidP="002F73E7">
            <w:pPr>
              <w:jc w:val="center"/>
              <w:rPr>
                <w:rFonts w:ascii="Hypatia Sans Pro" w:hAnsi="Hypatia Sans Pro"/>
              </w:rPr>
            </w:pPr>
            <w:r w:rsidRPr="00EB3A15">
              <w:rPr>
                <w:rFonts w:ascii="Hypatia Sans Pro" w:hAnsi="Hypatia Sans Pro"/>
              </w:rPr>
              <w:t>7%</w:t>
            </w:r>
          </w:p>
        </w:tc>
      </w:tr>
    </w:tbl>
    <w:p w14:paraId="37340660" w14:textId="77777777" w:rsidR="007C1D43" w:rsidRPr="00EB3A15" w:rsidRDefault="007C1D43" w:rsidP="005F6B09">
      <w:pPr>
        <w:ind w:left="-1440"/>
        <w:rPr>
          <w:rFonts w:ascii="Hypatia Sans Pro" w:hAnsi="Hypatia Sans Pro"/>
          <w:sz w:val="24"/>
          <w:szCs w:val="24"/>
        </w:rPr>
      </w:pPr>
    </w:p>
    <w:p w14:paraId="2406509C" w14:textId="77777777" w:rsidR="007C1D43" w:rsidRPr="00EB3A15" w:rsidRDefault="007C1D43" w:rsidP="007C1D43">
      <w:pPr>
        <w:rPr>
          <w:rFonts w:ascii="Hypatia Sans Pro" w:hAnsi="Hypatia Sans Pro"/>
          <w:i/>
          <w:iCs/>
          <w:sz w:val="16"/>
          <w:szCs w:val="16"/>
        </w:rPr>
      </w:pPr>
    </w:p>
    <w:p w14:paraId="214F4126" w14:textId="77777777" w:rsidR="007C1D43" w:rsidRPr="00EB3A15" w:rsidRDefault="007C1D43" w:rsidP="007C1D43">
      <w:pPr>
        <w:rPr>
          <w:rFonts w:ascii="Hypatia Sans Pro" w:hAnsi="Hypatia Sans Pro"/>
          <w:i/>
          <w:iCs/>
          <w:sz w:val="16"/>
          <w:szCs w:val="16"/>
        </w:rPr>
      </w:pPr>
    </w:p>
    <w:p w14:paraId="78831C6D" w14:textId="77777777" w:rsidR="007C1D43" w:rsidRPr="00EB3A15" w:rsidRDefault="007C1D43" w:rsidP="007C1D43">
      <w:pPr>
        <w:rPr>
          <w:rFonts w:ascii="Hypatia Sans Pro" w:hAnsi="Hypatia Sans Pro"/>
          <w:i/>
          <w:iCs/>
          <w:sz w:val="16"/>
          <w:szCs w:val="16"/>
        </w:rPr>
      </w:pPr>
    </w:p>
    <w:p w14:paraId="58E688B1" w14:textId="77777777" w:rsidR="007C1D43" w:rsidRPr="00EB3A15" w:rsidRDefault="007C1D43" w:rsidP="007C1D43">
      <w:pPr>
        <w:rPr>
          <w:rFonts w:ascii="Hypatia Sans Pro" w:hAnsi="Hypatia Sans Pro"/>
          <w:i/>
          <w:iCs/>
          <w:sz w:val="16"/>
          <w:szCs w:val="16"/>
        </w:rPr>
      </w:pPr>
    </w:p>
    <w:p w14:paraId="1F16DB53" w14:textId="77777777" w:rsidR="007C1D43" w:rsidRPr="00EB3A15" w:rsidRDefault="007C1D43" w:rsidP="007C1D43">
      <w:pPr>
        <w:rPr>
          <w:rFonts w:ascii="Hypatia Sans Pro" w:hAnsi="Hypatia Sans Pro"/>
          <w:i/>
          <w:iCs/>
          <w:sz w:val="16"/>
          <w:szCs w:val="16"/>
        </w:rPr>
      </w:pPr>
    </w:p>
    <w:p w14:paraId="4AE8BDA4" w14:textId="77777777" w:rsidR="007C1D43" w:rsidRPr="00EB3A15" w:rsidRDefault="007C1D43" w:rsidP="007C1D43">
      <w:pPr>
        <w:rPr>
          <w:rFonts w:ascii="Hypatia Sans Pro" w:hAnsi="Hypatia Sans Pro"/>
          <w:i/>
          <w:iCs/>
          <w:sz w:val="16"/>
          <w:szCs w:val="16"/>
        </w:rPr>
      </w:pPr>
    </w:p>
    <w:p w14:paraId="5DC02926" w14:textId="77777777" w:rsidR="007C1D43" w:rsidRPr="00EB3A15" w:rsidRDefault="007C1D43" w:rsidP="007C1D43">
      <w:pPr>
        <w:rPr>
          <w:rFonts w:ascii="Hypatia Sans Pro" w:hAnsi="Hypatia Sans Pro"/>
          <w:i/>
          <w:iCs/>
          <w:sz w:val="16"/>
          <w:szCs w:val="16"/>
        </w:rPr>
      </w:pPr>
    </w:p>
    <w:p w14:paraId="2FF77836" w14:textId="77777777" w:rsidR="007C1D43" w:rsidRPr="00EB3A15" w:rsidRDefault="007C1D43" w:rsidP="007C1D43">
      <w:pPr>
        <w:rPr>
          <w:rFonts w:ascii="Hypatia Sans Pro" w:hAnsi="Hypatia Sans Pro"/>
          <w:i/>
          <w:iCs/>
          <w:sz w:val="16"/>
          <w:szCs w:val="16"/>
        </w:rPr>
      </w:pPr>
    </w:p>
    <w:p w14:paraId="2CDA43F2" w14:textId="457F7C6D" w:rsidR="007C1D43" w:rsidRPr="00EB3A15" w:rsidRDefault="005F6B09" w:rsidP="007F6126">
      <w:pPr>
        <w:rPr>
          <w:rFonts w:ascii="Hypatia Sans Pro" w:hAnsi="Hypatia Sans Pro"/>
          <w:i/>
          <w:iCs/>
          <w:sz w:val="16"/>
          <w:szCs w:val="16"/>
        </w:rPr>
      </w:pPr>
      <w:r w:rsidRPr="00EB3A15">
        <w:rPr>
          <w:rFonts w:ascii="Hypatia Sans Pro" w:hAnsi="Hypatia Sans Pro"/>
          <w:i/>
          <w:iCs/>
          <w:sz w:val="16"/>
          <w:szCs w:val="16"/>
        </w:rPr>
        <w:t>**Eligible individuals not total population</w:t>
      </w:r>
    </w:p>
    <w:p w14:paraId="1DBDDF69" w14:textId="1D89B529" w:rsidR="005F6B09" w:rsidRPr="00EB3A15" w:rsidRDefault="008A221C" w:rsidP="007F6126">
      <w:pPr>
        <w:ind w:left="-90" w:right="-144"/>
        <w:rPr>
          <w:rFonts w:ascii="Hypatia Sans Pro" w:hAnsi="Hypatia Sans Pro"/>
          <w:sz w:val="24"/>
          <w:szCs w:val="24"/>
        </w:rPr>
      </w:pPr>
      <w:r w:rsidRPr="00EB3A15">
        <w:rPr>
          <w:rFonts w:ascii="Hypatia Sans Pro" w:hAnsi="Hypatia Sans Pro"/>
          <w:b/>
          <w:bCs/>
          <w:sz w:val="24"/>
          <w:szCs w:val="24"/>
        </w:rPr>
        <w:lastRenderedPageBreak/>
        <w:t>% of T</w:t>
      </w:r>
      <w:r w:rsidR="005F6B09" w:rsidRPr="00EB3A15">
        <w:rPr>
          <w:rFonts w:ascii="Hypatia Sans Pro" w:hAnsi="Hypatia Sans Pro"/>
          <w:b/>
          <w:bCs/>
          <w:sz w:val="24"/>
          <w:szCs w:val="24"/>
        </w:rPr>
        <w:t xml:space="preserve">otal </w:t>
      </w:r>
      <w:r w:rsidR="007C1D43" w:rsidRPr="00EB3A15">
        <w:rPr>
          <w:rFonts w:ascii="Hypatia Sans Pro" w:hAnsi="Hypatia Sans Pro"/>
          <w:b/>
          <w:bCs/>
          <w:sz w:val="24"/>
          <w:szCs w:val="24"/>
        </w:rPr>
        <w:t xml:space="preserve">ACA Beneficiaries </w:t>
      </w:r>
      <w:r w:rsidR="007F6126" w:rsidRPr="00EB3A15">
        <w:rPr>
          <w:rFonts w:ascii="Hypatia Sans Pro" w:hAnsi="Hypatia Sans Pro"/>
          <w:b/>
          <w:bCs/>
          <w:sz w:val="24"/>
          <w:szCs w:val="24"/>
        </w:rPr>
        <w:br/>
        <w:t>U</w:t>
      </w:r>
      <w:r w:rsidR="005F6B09" w:rsidRPr="00EB3A15">
        <w:rPr>
          <w:rFonts w:ascii="Hypatia Sans Pro" w:hAnsi="Hypatia Sans Pro"/>
          <w:b/>
          <w:bCs/>
          <w:sz w:val="24"/>
          <w:szCs w:val="24"/>
        </w:rPr>
        <w:t>nder Age 65</w:t>
      </w:r>
      <w:r w:rsidR="005F6B09" w:rsidRPr="00EB3A15">
        <w:rPr>
          <w:rFonts w:ascii="Hypatia Sans Pro" w:hAnsi="Hypatia Sans Pro"/>
          <w:sz w:val="24"/>
          <w:szCs w:val="24"/>
        </w:rPr>
        <w:t xml:space="preserve"> </w:t>
      </w:r>
      <w:r w:rsidR="007F6126" w:rsidRPr="00EB3A15">
        <w:rPr>
          <w:rFonts w:ascii="Hypatia Sans Pro" w:hAnsi="Hypatia Sans Pro"/>
          <w:sz w:val="24"/>
          <w:szCs w:val="24"/>
        </w:rPr>
        <w:t>(Apple Health &amp; QHP)</w:t>
      </w:r>
      <w:r w:rsidR="007C1D43" w:rsidRPr="00EB3A15">
        <w:rPr>
          <w:rFonts w:ascii="Hypatia Sans Pro" w:hAnsi="Hypatia Sans Pro"/>
          <w:sz w:val="24"/>
          <w:szCs w:val="24"/>
        </w:rPr>
        <w:br/>
      </w:r>
      <w:r w:rsidR="005F6B09" w:rsidRPr="00EB3A15">
        <w:rPr>
          <w:rFonts w:ascii="Hypatia Sans Pro" w:hAnsi="Hypatia Sans Pro"/>
          <w:i/>
          <w:iCs/>
          <w:szCs w:val="20"/>
        </w:rPr>
        <w:t>(Source: Health Benefit Exchange)</w:t>
      </w:r>
    </w:p>
    <w:p w14:paraId="45A16297" w14:textId="77777777" w:rsidR="007C1D43" w:rsidRPr="00EB3A15" w:rsidRDefault="007C1D43" w:rsidP="005F6B09">
      <w:pPr>
        <w:ind w:left="-1440" w:firstLine="720"/>
        <w:rPr>
          <w:rFonts w:ascii="Hypatia Sans Pro" w:hAnsi="Hypatia Sans Pro"/>
          <w:sz w:val="24"/>
          <w:szCs w:val="24"/>
        </w:rPr>
      </w:pPr>
    </w:p>
    <w:p w14:paraId="1830759F" w14:textId="6C276969" w:rsidR="005F6B09" w:rsidRPr="00EB3A15" w:rsidRDefault="007F6126" w:rsidP="00F3420A">
      <w:pPr>
        <w:ind w:left="270"/>
        <w:jc w:val="both"/>
        <w:rPr>
          <w:rFonts w:ascii="Hypatia Sans Pro" w:hAnsi="Hypatia Sans Pro"/>
          <w:sz w:val="22"/>
          <w:szCs w:val="22"/>
        </w:rPr>
      </w:pPr>
      <w:proofErr w:type="gramStart"/>
      <w:r w:rsidRPr="00EB3A15">
        <w:rPr>
          <w:rFonts w:ascii="Hypatia Sans Pro" w:hAnsi="Hypatia Sans Pro"/>
          <w:sz w:val="22"/>
          <w:szCs w:val="22"/>
        </w:rPr>
        <w:t>Spokan</w:t>
      </w:r>
      <w:r w:rsidR="008A221C" w:rsidRPr="00EB3A15">
        <w:rPr>
          <w:rFonts w:ascii="Hypatia Sans Pro" w:hAnsi="Hypatia Sans Pro"/>
          <w:sz w:val="22"/>
          <w:szCs w:val="22"/>
        </w:rPr>
        <w:t xml:space="preserve">e  </w:t>
      </w:r>
      <w:r w:rsidR="008A221C" w:rsidRPr="00EB3A15">
        <w:rPr>
          <w:rFonts w:ascii="Hypatia Sans Pro" w:hAnsi="Hypatia Sans Pro"/>
          <w:color w:val="31B1CA"/>
          <w:sz w:val="22"/>
          <w:szCs w:val="22"/>
        </w:rPr>
        <w:t>--</w:t>
      </w:r>
      <w:proofErr w:type="gramEnd"/>
      <w:r w:rsidR="008A221C" w:rsidRPr="00EB3A15">
        <w:rPr>
          <w:rFonts w:ascii="Hypatia Sans Pro" w:hAnsi="Hypatia Sans Pro"/>
          <w:sz w:val="22"/>
          <w:szCs w:val="22"/>
        </w:rPr>
        <w:t xml:space="preserve">  </w:t>
      </w:r>
      <w:r w:rsidR="005F6B09" w:rsidRPr="00EB3A15">
        <w:rPr>
          <w:rFonts w:ascii="Hypatia Sans Pro" w:hAnsi="Hypatia Sans Pro"/>
          <w:sz w:val="22"/>
          <w:szCs w:val="22"/>
        </w:rPr>
        <w:t>17%</w:t>
      </w:r>
    </w:p>
    <w:p w14:paraId="161D0A43" w14:textId="354D0615" w:rsidR="005F6B09" w:rsidRPr="00EB3A15" w:rsidRDefault="008A221C" w:rsidP="00B30F42">
      <w:pPr>
        <w:ind w:left="270"/>
        <w:jc w:val="both"/>
        <w:rPr>
          <w:rFonts w:ascii="Hypatia Sans Pro" w:hAnsi="Hypatia Sans Pro"/>
          <w:sz w:val="22"/>
          <w:szCs w:val="22"/>
        </w:rPr>
      </w:pPr>
      <w:proofErr w:type="gramStart"/>
      <w:r w:rsidRPr="00EB3A15">
        <w:rPr>
          <w:rFonts w:ascii="Hypatia Sans Pro" w:hAnsi="Hypatia Sans Pro"/>
          <w:sz w:val="22"/>
          <w:szCs w:val="22"/>
        </w:rPr>
        <w:t xml:space="preserve">Lincoln  </w:t>
      </w:r>
      <w:r w:rsidR="00B30F42" w:rsidRPr="00EB3A15">
        <w:rPr>
          <w:rFonts w:ascii="Hypatia Sans Pro" w:hAnsi="Hypatia Sans Pro"/>
          <w:color w:val="31B1CA"/>
          <w:sz w:val="22"/>
          <w:szCs w:val="22"/>
        </w:rPr>
        <w:t>--</w:t>
      </w:r>
      <w:proofErr w:type="gramEnd"/>
      <w:r w:rsidR="00B30F42" w:rsidRPr="00EB3A15">
        <w:rPr>
          <w:rFonts w:ascii="Hypatia Sans Pro" w:hAnsi="Hypatia Sans Pro"/>
          <w:sz w:val="22"/>
          <w:szCs w:val="22"/>
        </w:rPr>
        <w:t xml:space="preserve"> </w:t>
      </w:r>
      <w:r w:rsidRPr="00EB3A15">
        <w:rPr>
          <w:rFonts w:ascii="Hypatia Sans Pro" w:hAnsi="Hypatia Sans Pro"/>
          <w:sz w:val="22"/>
          <w:szCs w:val="22"/>
        </w:rPr>
        <w:t xml:space="preserve">  </w:t>
      </w:r>
      <w:r w:rsidR="005F6B09" w:rsidRPr="00EB3A15">
        <w:rPr>
          <w:rFonts w:ascii="Hypatia Sans Pro" w:hAnsi="Hypatia Sans Pro"/>
          <w:sz w:val="22"/>
          <w:szCs w:val="22"/>
        </w:rPr>
        <w:t>19%</w:t>
      </w:r>
    </w:p>
    <w:p w14:paraId="731F7A56" w14:textId="7CF01175" w:rsidR="005F6B09" w:rsidRPr="00EB3A15" w:rsidRDefault="007F6126" w:rsidP="00B30F42">
      <w:pPr>
        <w:ind w:left="270"/>
        <w:jc w:val="both"/>
        <w:rPr>
          <w:rFonts w:ascii="Hypatia Sans Pro" w:hAnsi="Hypatia Sans Pro"/>
          <w:sz w:val="22"/>
          <w:szCs w:val="22"/>
        </w:rPr>
      </w:pPr>
      <w:proofErr w:type="gramStart"/>
      <w:r w:rsidRPr="00EB3A15">
        <w:rPr>
          <w:rFonts w:ascii="Hypatia Sans Pro" w:hAnsi="Hypatia Sans Pro"/>
          <w:sz w:val="22"/>
          <w:szCs w:val="22"/>
        </w:rPr>
        <w:t>Adams</w:t>
      </w:r>
      <w:r w:rsidR="008A221C" w:rsidRPr="00EB3A15">
        <w:rPr>
          <w:rFonts w:ascii="Hypatia Sans Pro" w:hAnsi="Hypatia Sans Pro"/>
          <w:sz w:val="22"/>
          <w:szCs w:val="22"/>
        </w:rPr>
        <w:t xml:space="preserve">  </w:t>
      </w:r>
      <w:r w:rsidR="00B30F42" w:rsidRPr="00EB3A15">
        <w:rPr>
          <w:rFonts w:ascii="Hypatia Sans Pro" w:hAnsi="Hypatia Sans Pro"/>
          <w:color w:val="31B1CA"/>
          <w:sz w:val="22"/>
          <w:szCs w:val="22"/>
        </w:rPr>
        <w:t>--</w:t>
      </w:r>
      <w:proofErr w:type="gramEnd"/>
      <w:r w:rsidR="00B30F42" w:rsidRPr="00EB3A15">
        <w:rPr>
          <w:rFonts w:ascii="Hypatia Sans Pro" w:hAnsi="Hypatia Sans Pro"/>
          <w:sz w:val="22"/>
          <w:szCs w:val="22"/>
        </w:rPr>
        <w:t xml:space="preserve"> </w:t>
      </w:r>
      <w:r w:rsidR="008A221C" w:rsidRPr="00EB3A15">
        <w:rPr>
          <w:rFonts w:ascii="Hypatia Sans Pro" w:hAnsi="Hypatia Sans Pro"/>
          <w:sz w:val="22"/>
          <w:szCs w:val="22"/>
        </w:rPr>
        <w:t xml:space="preserve">  </w:t>
      </w:r>
      <w:r w:rsidR="005F6B09" w:rsidRPr="00EB3A15">
        <w:rPr>
          <w:rFonts w:ascii="Hypatia Sans Pro" w:hAnsi="Hypatia Sans Pro"/>
          <w:sz w:val="22"/>
          <w:szCs w:val="22"/>
        </w:rPr>
        <w:t>15%</w:t>
      </w:r>
    </w:p>
    <w:p w14:paraId="19A538D2" w14:textId="542FCE99" w:rsidR="005F6B09" w:rsidRPr="00EB3A15" w:rsidRDefault="007F6126" w:rsidP="00B30F42">
      <w:pPr>
        <w:ind w:left="270"/>
        <w:jc w:val="both"/>
        <w:rPr>
          <w:rFonts w:ascii="Hypatia Sans Pro" w:hAnsi="Hypatia Sans Pro"/>
          <w:sz w:val="22"/>
          <w:szCs w:val="22"/>
        </w:rPr>
      </w:pPr>
      <w:r w:rsidRPr="00EB3A15">
        <w:rPr>
          <w:rFonts w:ascii="Hypatia Sans Pro" w:hAnsi="Hypatia Sans Pro"/>
          <w:sz w:val="22"/>
          <w:szCs w:val="22"/>
        </w:rPr>
        <w:t xml:space="preserve">Pend </w:t>
      </w:r>
      <w:proofErr w:type="gramStart"/>
      <w:r w:rsidRPr="00EB3A15">
        <w:rPr>
          <w:rFonts w:ascii="Hypatia Sans Pro" w:hAnsi="Hypatia Sans Pro"/>
          <w:sz w:val="22"/>
          <w:szCs w:val="22"/>
        </w:rPr>
        <w:t>Oreille</w:t>
      </w:r>
      <w:r w:rsidR="008A221C" w:rsidRPr="00EB3A15">
        <w:rPr>
          <w:rFonts w:ascii="Hypatia Sans Pro" w:hAnsi="Hypatia Sans Pro"/>
          <w:sz w:val="22"/>
          <w:szCs w:val="22"/>
        </w:rPr>
        <w:t xml:space="preserve">  </w:t>
      </w:r>
      <w:r w:rsidR="00B30F42" w:rsidRPr="00EB3A15">
        <w:rPr>
          <w:rFonts w:ascii="Hypatia Sans Pro" w:hAnsi="Hypatia Sans Pro"/>
          <w:color w:val="31B1CA"/>
          <w:sz w:val="22"/>
          <w:szCs w:val="22"/>
        </w:rPr>
        <w:t>--</w:t>
      </w:r>
      <w:proofErr w:type="gramEnd"/>
      <w:r w:rsidR="00B30F42" w:rsidRPr="00EB3A15">
        <w:rPr>
          <w:rFonts w:ascii="Hypatia Sans Pro" w:hAnsi="Hypatia Sans Pro"/>
          <w:sz w:val="22"/>
          <w:szCs w:val="22"/>
        </w:rPr>
        <w:t xml:space="preserve"> </w:t>
      </w:r>
      <w:r w:rsidR="00ED46D0" w:rsidRPr="00EB3A15">
        <w:rPr>
          <w:rFonts w:ascii="Hypatia Sans Pro" w:hAnsi="Hypatia Sans Pro"/>
          <w:sz w:val="22"/>
          <w:szCs w:val="22"/>
        </w:rPr>
        <w:t xml:space="preserve"> </w:t>
      </w:r>
      <w:r w:rsidR="005F6B09" w:rsidRPr="00EB3A15">
        <w:rPr>
          <w:rFonts w:ascii="Hypatia Sans Pro" w:hAnsi="Hypatia Sans Pro"/>
          <w:sz w:val="22"/>
          <w:szCs w:val="22"/>
        </w:rPr>
        <w:t>16.7%</w:t>
      </w:r>
    </w:p>
    <w:p w14:paraId="72818243" w14:textId="26984C3E" w:rsidR="005F6B09" w:rsidRPr="00EB3A15" w:rsidRDefault="007F6126" w:rsidP="00B30F42">
      <w:pPr>
        <w:ind w:left="270"/>
        <w:jc w:val="both"/>
        <w:rPr>
          <w:rFonts w:ascii="Hypatia Sans Pro" w:hAnsi="Hypatia Sans Pro"/>
          <w:sz w:val="22"/>
          <w:szCs w:val="22"/>
        </w:rPr>
      </w:pPr>
      <w:r w:rsidRPr="00EB3A15">
        <w:rPr>
          <w:rFonts w:ascii="Hypatia Sans Pro" w:hAnsi="Hypatia Sans Pro"/>
          <w:sz w:val="22"/>
          <w:szCs w:val="22"/>
        </w:rPr>
        <w:t>Stevens</w:t>
      </w:r>
      <w:r w:rsidR="008A221C" w:rsidRPr="00EB3A15">
        <w:rPr>
          <w:rFonts w:ascii="Hypatia Sans Pro" w:hAnsi="Hypatia Sans Pro"/>
          <w:sz w:val="22"/>
          <w:szCs w:val="22"/>
        </w:rPr>
        <w:t xml:space="preserve"> </w:t>
      </w:r>
      <w:proofErr w:type="gramStart"/>
      <w:r w:rsidR="00B30F42" w:rsidRPr="00EB3A15">
        <w:rPr>
          <w:rFonts w:ascii="Hypatia Sans Pro" w:hAnsi="Hypatia Sans Pro"/>
          <w:color w:val="31B1CA"/>
          <w:sz w:val="22"/>
          <w:szCs w:val="22"/>
        </w:rPr>
        <w:t>--</w:t>
      </w:r>
      <w:r w:rsidR="00B30F42" w:rsidRPr="00EB3A15">
        <w:rPr>
          <w:rFonts w:ascii="Hypatia Sans Pro" w:hAnsi="Hypatia Sans Pro"/>
          <w:sz w:val="22"/>
          <w:szCs w:val="22"/>
        </w:rPr>
        <w:t xml:space="preserve"> </w:t>
      </w:r>
      <w:r w:rsidR="008A221C" w:rsidRPr="00EB3A15">
        <w:rPr>
          <w:rFonts w:ascii="Hypatia Sans Pro" w:hAnsi="Hypatia Sans Pro"/>
          <w:sz w:val="22"/>
          <w:szCs w:val="22"/>
        </w:rPr>
        <w:t xml:space="preserve"> </w:t>
      </w:r>
      <w:r w:rsidR="005F6B09" w:rsidRPr="00EB3A15">
        <w:rPr>
          <w:rFonts w:ascii="Hypatia Sans Pro" w:hAnsi="Hypatia Sans Pro"/>
          <w:sz w:val="22"/>
          <w:szCs w:val="22"/>
        </w:rPr>
        <w:t>15.8</w:t>
      </w:r>
      <w:proofErr w:type="gramEnd"/>
      <w:r w:rsidR="005F6B09" w:rsidRPr="00EB3A15">
        <w:rPr>
          <w:rFonts w:ascii="Hypatia Sans Pro" w:hAnsi="Hypatia Sans Pro"/>
          <w:sz w:val="22"/>
          <w:szCs w:val="22"/>
        </w:rPr>
        <w:t>%</w:t>
      </w:r>
    </w:p>
    <w:p w14:paraId="6D6F4A76" w14:textId="287BF784" w:rsidR="005F6B09" w:rsidRPr="00EB3A15" w:rsidRDefault="007F6126" w:rsidP="00B30F42">
      <w:pPr>
        <w:ind w:left="270"/>
        <w:jc w:val="both"/>
        <w:rPr>
          <w:rFonts w:ascii="Hypatia Sans Pro" w:hAnsi="Hypatia Sans Pro"/>
          <w:sz w:val="22"/>
          <w:szCs w:val="22"/>
        </w:rPr>
      </w:pPr>
      <w:r w:rsidRPr="00EB3A15">
        <w:rPr>
          <w:rFonts w:ascii="Hypatia Sans Pro" w:hAnsi="Hypatia Sans Pro"/>
          <w:sz w:val="22"/>
          <w:szCs w:val="22"/>
        </w:rPr>
        <w:t>Ferry</w:t>
      </w:r>
      <w:r w:rsidR="008A221C" w:rsidRPr="00EB3A15">
        <w:rPr>
          <w:rFonts w:ascii="Hypatia Sans Pro" w:hAnsi="Hypatia Sans Pro"/>
          <w:sz w:val="22"/>
          <w:szCs w:val="22"/>
        </w:rPr>
        <w:t xml:space="preserve"> </w:t>
      </w:r>
      <w:proofErr w:type="gramStart"/>
      <w:r w:rsidR="00B30F42" w:rsidRPr="00EB3A15">
        <w:rPr>
          <w:rFonts w:ascii="Hypatia Sans Pro" w:hAnsi="Hypatia Sans Pro"/>
          <w:color w:val="31B1CA"/>
          <w:sz w:val="22"/>
          <w:szCs w:val="22"/>
        </w:rPr>
        <w:t>--</w:t>
      </w:r>
      <w:r w:rsidR="00B30F42" w:rsidRPr="00EB3A15">
        <w:rPr>
          <w:rFonts w:ascii="Hypatia Sans Pro" w:hAnsi="Hypatia Sans Pro"/>
          <w:sz w:val="22"/>
          <w:szCs w:val="22"/>
        </w:rPr>
        <w:t xml:space="preserve"> </w:t>
      </w:r>
      <w:r w:rsidR="008A221C" w:rsidRPr="00EB3A15">
        <w:rPr>
          <w:rFonts w:ascii="Hypatia Sans Pro" w:hAnsi="Hypatia Sans Pro"/>
          <w:sz w:val="22"/>
          <w:szCs w:val="22"/>
        </w:rPr>
        <w:t xml:space="preserve"> </w:t>
      </w:r>
      <w:r w:rsidR="005F6B09" w:rsidRPr="00EB3A15">
        <w:rPr>
          <w:rFonts w:ascii="Hypatia Sans Pro" w:hAnsi="Hypatia Sans Pro"/>
          <w:sz w:val="22"/>
          <w:szCs w:val="22"/>
        </w:rPr>
        <w:t>14.6</w:t>
      </w:r>
      <w:proofErr w:type="gramEnd"/>
      <w:r w:rsidR="005F6B09" w:rsidRPr="00EB3A15">
        <w:rPr>
          <w:rFonts w:ascii="Hypatia Sans Pro" w:hAnsi="Hypatia Sans Pro"/>
          <w:sz w:val="22"/>
          <w:szCs w:val="22"/>
        </w:rPr>
        <w:t>%</w:t>
      </w:r>
    </w:p>
    <w:p w14:paraId="61887019" w14:textId="7216E74C" w:rsidR="005F6B09" w:rsidRPr="00EB3A15" w:rsidRDefault="007F6126" w:rsidP="00B30F42">
      <w:pPr>
        <w:ind w:left="270"/>
        <w:jc w:val="both"/>
        <w:rPr>
          <w:rFonts w:ascii="Hypatia Sans Pro" w:hAnsi="Hypatia Sans Pro"/>
          <w:sz w:val="22"/>
          <w:szCs w:val="22"/>
        </w:rPr>
      </w:pPr>
      <w:r w:rsidRPr="00EB3A15">
        <w:rPr>
          <w:rFonts w:ascii="Hypatia Sans Pro" w:hAnsi="Hypatia Sans Pro"/>
          <w:sz w:val="22"/>
          <w:szCs w:val="22"/>
        </w:rPr>
        <w:t>Whitman</w:t>
      </w:r>
      <w:r w:rsidR="008A221C" w:rsidRPr="00EB3A15">
        <w:rPr>
          <w:rFonts w:ascii="Hypatia Sans Pro" w:hAnsi="Hypatia Sans Pro"/>
          <w:sz w:val="22"/>
          <w:szCs w:val="22"/>
        </w:rPr>
        <w:t xml:space="preserve"> </w:t>
      </w:r>
      <w:r w:rsidR="00B30F42" w:rsidRPr="00EB3A15">
        <w:rPr>
          <w:rFonts w:ascii="Hypatia Sans Pro" w:hAnsi="Hypatia Sans Pro"/>
          <w:color w:val="31B1CA"/>
          <w:sz w:val="22"/>
          <w:szCs w:val="22"/>
        </w:rPr>
        <w:t>--</w:t>
      </w:r>
      <w:r w:rsidR="008A221C" w:rsidRPr="00EB3A15">
        <w:rPr>
          <w:rFonts w:ascii="Hypatia Sans Pro" w:hAnsi="Hypatia Sans Pro"/>
          <w:sz w:val="22"/>
          <w:szCs w:val="22"/>
        </w:rPr>
        <w:t xml:space="preserve"> </w:t>
      </w:r>
      <w:r w:rsidR="005F6B09" w:rsidRPr="00EB3A15">
        <w:rPr>
          <w:rFonts w:ascii="Hypatia Sans Pro" w:hAnsi="Hypatia Sans Pro"/>
          <w:sz w:val="22"/>
          <w:szCs w:val="22"/>
        </w:rPr>
        <w:t>10%</w:t>
      </w:r>
    </w:p>
    <w:p w14:paraId="2F13F5ED" w14:textId="77777777" w:rsidR="002F73E7" w:rsidRPr="00EB3A15" w:rsidRDefault="002F73E7" w:rsidP="00F3420A">
      <w:pPr>
        <w:ind w:left="270"/>
        <w:jc w:val="both"/>
        <w:rPr>
          <w:rFonts w:ascii="Hypatia Sans Pro" w:hAnsi="Hypatia Sans Pro"/>
          <w:sz w:val="24"/>
          <w:szCs w:val="24"/>
        </w:rPr>
      </w:pPr>
    </w:p>
    <w:p w14:paraId="1CAD4680" w14:textId="77777777" w:rsidR="007C1D43" w:rsidRPr="00EB3A15" w:rsidRDefault="007C1D43" w:rsidP="00EB3A15">
      <w:pPr>
        <w:rPr>
          <w:rFonts w:ascii="Hypatia Sans Pro" w:hAnsi="Hypatia Sans Pro"/>
          <w:sz w:val="24"/>
          <w:szCs w:val="24"/>
        </w:rPr>
        <w:sectPr w:rsidR="007C1D43" w:rsidRPr="00EB3A15" w:rsidSect="002F73E7">
          <w:type w:val="continuous"/>
          <w:pgSz w:w="12240" w:h="15840"/>
          <w:pgMar w:top="1440" w:right="1440" w:bottom="720" w:left="3474" w:header="2880" w:footer="1440" w:gutter="0"/>
          <w:cols w:num="2" w:space="324"/>
          <w:docGrid w:linePitch="360"/>
        </w:sectPr>
      </w:pPr>
    </w:p>
    <w:p w14:paraId="4A416A30" w14:textId="7F8E99C0" w:rsidR="005F6B09" w:rsidRPr="00A3532F" w:rsidRDefault="005F6B09" w:rsidP="00EB3A15">
      <w:pPr>
        <w:rPr>
          <w:rFonts w:ascii="Hypatia Sans Pro" w:hAnsi="Hypatia Sans Pro"/>
          <w:sz w:val="10"/>
          <w:szCs w:val="10"/>
        </w:rPr>
      </w:pPr>
    </w:p>
    <w:tbl>
      <w:tblPr>
        <w:tblStyle w:val="TableGrid"/>
        <w:tblW w:w="0" w:type="auto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7104"/>
      </w:tblGrid>
      <w:tr w:rsidR="00EB3A15" w:rsidRPr="00EB3A15" w14:paraId="2338871C" w14:textId="77777777" w:rsidTr="00FE596A">
        <w:trPr>
          <w:trHeight w:val="1178"/>
        </w:trPr>
        <w:tc>
          <w:tcPr>
            <w:tcW w:w="1192" w:type="dxa"/>
            <w:tcBorders>
              <w:top w:val="single" w:sz="12" w:space="0" w:color="31B1CA"/>
              <w:left w:val="single" w:sz="12" w:space="0" w:color="31B1CA"/>
              <w:bottom w:val="single" w:sz="12" w:space="0" w:color="31B1CA"/>
              <w:right w:val="single" w:sz="12" w:space="0" w:color="31B1CA"/>
            </w:tcBorders>
            <w:vAlign w:val="center"/>
          </w:tcPr>
          <w:p w14:paraId="1A977072" w14:textId="7CC27A2E" w:rsidR="00662EEC" w:rsidRPr="00EB3A15" w:rsidRDefault="00662EEC" w:rsidP="00662EEC">
            <w:pPr>
              <w:jc w:val="center"/>
              <w:rPr>
                <w:rStyle w:val="Emphasis"/>
                <w:rFonts w:ascii="Hypatia Sans Pro" w:hAnsi="Hypatia Sans Pro"/>
                <w:b/>
                <w:bCs/>
                <w:sz w:val="32"/>
                <w:szCs w:val="32"/>
              </w:rPr>
            </w:pPr>
            <w:r w:rsidRPr="00EB3A15">
              <w:rPr>
                <w:rStyle w:val="Emphasis"/>
                <w:rFonts w:ascii="Hypatia Sans Pro" w:hAnsi="Hypatia Sans Pro"/>
                <w:b/>
                <w:bCs/>
                <w:sz w:val="32"/>
                <w:szCs w:val="32"/>
              </w:rPr>
              <w:t>68,740</w:t>
            </w:r>
          </w:p>
        </w:tc>
        <w:tc>
          <w:tcPr>
            <w:tcW w:w="7104" w:type="dxa"/>
            <w:tcBorders>
              <w:left w:val="single" w:sz="12" w:space="0" w:color="31B1CA"/>
            </w:tcBorders>
            <w:vAlign w:val="bottom"/>
          </w:tcPr>
          <w:p w14:paraId="3EC19331" w14:textId="50AF6718" w:rsidR="00662EEC" w:rsidRPr="00EB3A15" w:rsidRDefault="00662EEC" w:rsidP="00EB3A15">
            <w:pPr>
              <w:ind w:left="70"/>
              <w:rPr>
                <w:rStyle w:val="Emphasis"/>
                <w:rFonts w:ascii="Hypatia Sans Pro" w:hAnsi="Hypatia Sans Pro"/>
                <w:iCs w:val="0"/>
                <w:color w:val="5E6164"/>
                <w:sz w:val="24"/>
                <w:szCs w:val="24"/>
              </w:rPr>
            </w:pPr>
            <w:r w:rsidRPr="00EB3A15">
              <w:rPr>
                <w:rFonts w:ascii="Hypatia Sans Pro" w:hAnsi="Hypatia Sans Pro"/>
                <w:sz w:val="24"/>
                <w:szCs w:val="24"/>
              </w:rPr>
              <w:t xml:space="preserve">Number of people in expansion population </w:t>
            </w:r>
            <w:r w:rsidR="00EB3A15" w:rsidRPr="00EB3A15">
              <w:rPr>
                <w:rFonts w:ascii="Hypatia Sans Pro" w:hAnsi="Hypatia Sans Pro"/>
                <w:sz w:val="24"/>
                <w:szCs w:val="24"/>
              </w:rPr>
              <w:t>(</w:t>
            </w:r>
            <w:r w:rsidRPr="009F6F0C">
              <w:rPr>
                <w:rFonts w:ascii="Hypatia Sans Pro" w:hAnsi="Hypatia Sans Pro"/>
                <w:sz w:val="22"/>
                <w:szCs w:val="22"/>
              </w:rPr>
              <w:t>individuals making between $11,000 and $15,000 annually or family of 4 making $24,300 to $32,000</w:t>
            </w:r>
            <w:r w:rsidR="00EB3A15" w:rsidRPr="00EB3A15">
              <w:rPr>
                <w:rFonts w:ascii="Hypatia Sans Pro" w:hAnsi="Hypatia Sans Pro"/>
                <w:sz w:val="24"/>
                <w:szCs w:val="24"/>
              </w:rPr>
              <w:t>) now receiving Apple Health</w:t>
            </w:r>
            <w:r w:rsidRPr="00EB3A15">
              <w:rPr>
                <w:rFonts w:ascii="Hypatia Sans Pro" w:hAnsi="Hypatia Sans Pro"/>
                <w:sz w:val="24"/>
                <w:szCs w:val="24"/>
              </w:rPr>
              <w:br/>
            </w:r>
            <w:r w:rsidRPr="00EB3A15">
              <w:rPr>
                <w:rFonts w:ascii="Hypatia Sans Pro" w:hAnsi="Hypatia Sans Pro"/>
                <w:i/>
                <w:iCs/>
                <w:szCs w:val="20"/>
              </w:rPr>
              <w:t>(Source: Health Benefit Exchange)</w:t>
            </w:r>
          </w:p>
        </w:tc>
      </w:tr>
      <w:tr w:rsidR="00EB3A15" w:rsidRPr="00EB3A15" w14:paraId="38F3075B" w14:textId="77777777" w:rsidTr="00FE596A">
        <w:trPr>
          <w:trHeight w:val="258"/>
        </w:trPr>
        <w:tc>
          <w:tcPr>
            <w:tcW w:w="1192" w:type="dxa"/>
            <w:tcBorders>
              <w:top w:val="single" w:sz="12" w:space="0" w:color="31B1CA"/>
              <w:bottom w:val="single" w:sz="12" w:space="0" w:color="31B1CA"/>
            </w:tcBorders>
            <w:vAlign w:val="center"/>
          </w:tcPr>
          <w:p w14:paraId="4AA3FB83" w14:textId="21B46676" w:rsidR="00662EEC" w:rsidRPr="00A3532F" w:rsidRDefault="00662EEC" w:rsidP="00662EEC">
            <w:pPr>
              <w:jc w:val="center"/>
              <w:rPr>
                <w:rStyle w:val="Emphasis"/>
                <w:rFonts w:ascii="Hypatia Sans Pro" w:hAnsi="Hypatia Sans Pro"/>
                <w:b/>
                <w:bCs/>
                <w:sz w:val="28"/>
                <w:szCs w:val="28"/>
              </w:rPr>
            </w:pPr>
          </w:p>
        </w:tc>
        <w:tc>
          <w:tcPr>
            <w:tcW w:w="7104" w:type="dxa"/>
            <w:vAlign w:val="bottom"/>
          </w:tcPr>
          <w:p w14:paraId="0FF4AF3A" w14:textId="77777777" w:rsidR="00662EEC" w:rsidRPr="00EB3A15" w:rsidRDefault="00662EEC" w:rsidP="00EB3A15">
            <w:pPr>
              <w:rPr>
                <w:rStyle w:val="Emphasis"/>
                <w:rFonts w:ascii="Hypatia Sans Pro" w:hAnsi="Hypatia Sans Pro"/>
                <w:b/>
                <w:bCs/>
                <w:sz w:val="28"/>
                <w:szCs w:val="32"/>
              </w:rPr>
            </w:pPr>
          </w:p>
        </w:tc>
      </w:tr>
      <w:tr w:rsidR="00EB3A15" w:rsidRPr="00EB3A15" w14:paraId="149B8C1F" w14:textId="77777777" w:rsidTr="00FE596A">
        <w:tc>
          <w:tcPr>
            <w:tcW w:w="1192" w:type="dxa"/>
            <w:tcBorders>
              <w:top w:val="single" w:sz="12" w:space="0" w:color="31B1CA"/>
              <w:left w:val="single" w:sz="12" w:space="0" w:color="31B1CA"/>
              <w:bottom w:val="single" w:sz="12" w:space="0" w:color="31B1CA"/>
              <w:right w:val="single" w:sz="12" w:space="0" w:color="31B1CA"/>
            </w:tcBorders>
            <w:vAlign w:val="center"/>
          </w:tcPr>
          <w:p w14:paraId="5E6E0C3E" w14:textId="20CB84F3" w:rsidR="00662EEC" w:rsidRPr="00EB3A15" w:rsidRDefault="00662EEC" w:rsidP="00662EEC">
            <w:pPr>
              <w:jc w:val="center"/>
              <w:rPr>
                <w:rStyle w:val="Emphasis"/>
                <w:rFonts w:ascii="Hypatia Sans Pro" w:hAnsi="Hypatia Sans Pro"/>
                <w:b/>
                <w:bCs/>
                <w:sz w:val="32"/>
                <w:szCs w:val="32"/>
              </w:rPr>
            </w:pPr>
            <w:r w:rsidRPr="00EB3A15">
              <w:rPr>
                <w:rStyle w:val="Emphasis"/>
                <w:rFonts w:ascii="Hypatia Sans Pro" w:hAnsi="Hypatia Sans Pro"/>
                <w:b/>
                <w:bCs/>
                <w:sz w:val="32"/>
                <w:szCs w:val="32"/>
              </w:rPr>
              <w:t>10,168</w:t>
            </w:r>
          </w:p>
        </w:tc>
        <w:tc>
          <w:tcPr>
            <w:tcW w:w="7104" w:type="dxa"/>
            <w:tcBorders>
              <w:left w:val="single" w:sz="12" w:space="0" w:color="31B1CA"/>
            </w:tcBorders>
            <w:vAlign w:val="bottom"/>
          </w:tcPr>
          <w:p w14:paraId="3ED88CBA" w14:textId="7412DFF4" w:rsidR="00662EEC" w:rsidRPr="00EB3A15" w:rsidRDefault="00662EEC" w:rsidP="00EB3A15">
            <w:pPr>
              <w:ind w:left="70"/>
              <w:rPr>
                <w:rStyle w:val="Emphasis"/>
                <w:rFonts w:ascii="Hypatia Sans Pro" w:hAnsi="Hypatia Sans Pro"/>
                <w:iCs w:val="0"/>
                <w:color w:val="5E6164"/>
                <w:sz w:val="24"/>
                <w:szCs w:val="24"/>
              </w:rPr>
            </w:pPr>
            <w:r w:rsidRPr="00EB3A15">
              <w:rPr>
                <w:rFonts w:ascii="Hypatia Sans Pro" w:hAnsi="Hypatia Sans Pro"/>
                <w:sz w:val="24"/>
                <w:szCs w:val="24"/>
              </w:rPr>
              <w:t xml:space="preserve">Number of individuals receiving tax credits and cost sharing investments, resulting in </w:t>
            </w:r>
            <w:r w:rsidRPr="00EB3A15">
              <w:rPr>
                <w:rStyle w:val="Emphasis"/>
                <w:rFonts w:ascii="Hypatia Sans Pro" w:hAnsi="Hypatia Sans Pro"/>
                <w:b/>
                <w:bCs/>
                <w:sz w:val="28"/>
                <w:szCs w:val="32"/>
              </w:rPr>
              <w:t>$29.5 million dollars</w:t>
            </w:r>
            <w:r w:rsidRPr="00EB3A15">
              <w:rPr>
                <w:rFonts w:ascii="Hypatia Sans Pro" w:hAnsi="Hypatia Sans Pro"/>
                <w:sz w:val="24"/>
                <w:szCs w:val="24"/>
              </w:rPr>
              <w:t xml:space="preserve"> invested in local economy in 2016 </w:t>
            </w:r>
            <w:r w:rsidRPr="00EB3A15">
              <w:rPr>
                <w:rFonts w:ascii="Hypatia Sans Pro" w:hAnsi="Hypatia Sans Pro"/>
                <w:sz w:val="24"/>
                <w:szCs w:val="24"/>
              </w:rPr>
              <w:br/>
            </w:r>
            <w:r w:rsidRPr="00EB3A15">
              <w:rPr>
                <w:rFonts w:ascii="Hypatia Sans Pro" w:hAnsi="Hypatia Sans Pro"/>
                <w:i/>
                <w:iCs/>
                <w:szCs w:val="20"/>
              </w:rPr>
              <w:t>(Source: Health Benefit Exchange)</w:t>
            </w:r>
          </w:p>
        </w:tc>
      </w:tr>
      <w:tr w:rsidR="00EB3A15" w:rsidRPr="00EB3A15" w14:paraId="42855582" w14:textId="77777777" w:rsidTr="00FE596A">
        <w:tc>
          <w:tcPr>
            <w:tcW w:w="1192" w:type="dxa"/>
            <w:tcBorders>
              <w:top w:val="single" w:sz="12" w:space="0" w:color="31B1CA"/>
              <w:bottom w:val="single" w:sz="12" w:space="0" w:color="31B1CA"/>
            </w:tcBorders>
            <w:vAlign w:val="center"/>
          </w:tcPr>
          <w:p w14:paraId="2E5B3EDB" w14:textId="77777777" w:rsidR="00662EEC" w:rsidRPr="00EB3A15" w:rsidRDefault="00662EEC" w:rsidP="00662EEC">
            <w:pPr>
              <w:jc w:val="center"/>
              <w:rPr>
                <w:rStyle w:val="Emphasis"/>
                <w:rFonts w:ascii="Hypatia Sans Pro" w:hAnsi="Hypatia Sans Pro"/>
                <w:b/>
                <w:bCs/>
                <w:sz w:val="32"/>
                <w:szCs w:val="32"/>
              </w:rPr>
            </w:pPr>
          </w:p>
        </w:tc>
        <w:tc>
          <w:tcPr>
            <w:tcW w:w="7104" w:type="dxa"/>
            <w:vAlign w:val="bottom"/>
          </w:tcPr>
          <w:p w14:paraId="7D8716DF" w14:textId="77777777" w:rsidR="00662EEC" w:rsidRPr="00EB3A15" w:rsidRDefault="00662EEC" w:rsidP="00EB3A15">
            <w:pPr>
              <w:ind w:left="70"/>
              <w:rPr>
                <w:rStyle w:val="Emphasis"/>
                <w:rFonts w:ascii="Hypatia Sans Pro" w:hAnsi="Hypatia Sans Pro"/>
                <w:b/>
                <w:bCs/>
                <w:sz w:val="28"/>
                <w:szCs w:val="32"/>
              </w:rPr>
            </w:pPr>
          </w:p>
        </w:tc>
      </w:tr>
      <w:tr w:rsidR="00EB3A15" w:rsidRPr="00EB3A15" w14:paraId="45E9DC59" w14:textId="77777777" w:rsidTr="00FE596A">
        <w:tc>
          <w:tcPr>
            <w:tcW w:w="1192" w:type="dxa"/>
            <w:tcBorders>
              <w:top w:val="single" w:sz="12" w:space="0" w:color="31B1CA"/>
              <w:left w:val="single" w:sz="12" w:space="0" w:color="31B1CA"/>
              <w:bottom w:val="single" w:sz="12" w:space="0" w:color="31B1CA"/>
              <w:right w:val="single" w:sz="12" w:space="0" w:color="31B1CA"/>
            </w:tcBorders>
            <w:vAlign w:val="center"/>
          </w:tcPr>
          <w:p w14:paraId="102E36AB" w14:textId="30CF18EB" w:rsidR="00662EEC" w:rsidRPr="00EB3A15" w:rsidRDefault="00031FB8" w:rsidP="00662EEC">
            <w:pPr>
              <w:jc w:val="center"/>
              <w:rPr>
                <w:rStyle w:val="Emphasis"/>
                <w:rFonts w:ascii="Hypatia Sans Pro" w:hAnsi="Hypatia Sans Pro"/>
                <w:b/>
                <w:bCs/>
                <w:sz w:val="32"/>
                <w:szCs w:val="32"/>
              </w:rPr>
            </w:pPr>
            <w:r>
              <w:rPr>
                <w:rStyle w:val="Emphasis"/>
                <w:rFonts w:ascii="Hypatia Sans Pro" w:hAnsi="Hypatia Sans Pro"/>
                <w:b/>
                <w:bCs/>
                <w:sz w:val="32"/>
                <w:szCs w:val="32"/>
              </w:rPr>
              <w:t>64%</w:t>
            </w:r>
          </w:p>
        </w:tc>
        <w:tc>
          <w:tcPr>
            <w:tcW w:w="7104" w:type="dxa"/>
            <w:tcBorders>
              <w:left w:val="single" w:sz="12" w:space="0" w:color="31B1CA"/>
            </w:tcBorders>
            <w:vAlign w:val="bottom"/>
          </w:tcPr>
          <w:p w14:paraId="19249B59" w14:textId="55AD71E2" w:rsidR="00662EEC" w:rsidRPr="00EB3A15" w:rsidRDefault="00662EEC" w:rsidP="00EB3A15">
            <w:pPr>
              <w:ind w:left="70"/>
              <w:rPr>
                <w:rFonts w:ascii="Hypatia Sans Pro" w:hAnsi="Hypatia Sans Pro"/>
                <w:sz w:val="24"/>
                <w:szCs w:val="24"/>
              </w:rPr>
            </w:pPr>
            <w:r w:rsidRPr="00EB3A15">
              <w:rPr>
                <w:rFonts w:ascii="Hypatia Sans Pro" w:hAnsi="Hypatia Sans Pro"/>
                <w:sz w:val="24"/>
                <w:szCs w:val="24"/>
              </w:rPr>
              <w:t xml:space="preserve">Total reduction in statewide annual premiums from </w:t>
            </w:r>
            <w:r w:rsidRPr="00EB3A15">
              <w:rPr>
                <w:rFonts w:ascii="Hypatia Sans Pro" w:hAnsi="Hypatia Sans Pro"/>
                <w:iCs/>
                <w:sz w:val="24"/>
                <w:szCs w:val="24"/>
              </w:rPr>
              <w:t xml:space="preserve">18.5% in 2008-2010 to </w:t>
            </w:r>
            <w:r w:rsidRPr="00A3532F">
              <w:rPr>
                <w:rStyle w:val="Emphasis"/>
                <w:rFonts w:ascii="Hypatia Sans Pro" w:hAnsi="Hypatia Sans Pro"/>
                <w:b/>
                <w:bCs/>
                <w:sz w:val="24"/>
                <w:szCs w:val="28"/>
              </w:rPr>
              <w:t>6.7%</w:t>
            </w:r>
            <w:r w:rsidRPr="00A3532F">
              <w:rPr>
                <w:rFonts w:ascii="Hypatia Sans Pro" w:hAnsi="Hypatia Sans Pro"/>
                <w:iCs/>
                <w:sz w:val="36"/>
                <w:szCs w:val="36"/>
              </w:rPr>
              <w:t xml:space="preserve"> </w:t>
            </w:r>
            <w:r w:rsidRPr="00EB3A15">
              <w:rPr>
                <w:rFonts w:ascii="Hypatia Sans Pro" w:hAnsi="Hypatia Sans Pro"/>
                <w:iCs/>
                <w:sz w:val="24"/>
                <w:szCs w:val="24"/>
              </w:rPr>
              <w:t>in 2015-2016</w:t>
            </w:r>
          </w:p>
          <w:p w14:paraId="57F3FAD0" w14:textId="1326847C" w:rsidR="00662EEC" w:rsidRPr="00EB3A15" w:rsidRDefault="00662EEC" w:rsidP="00EB3A15">
            <w:pPr>
              <w:ind w:left="70"/>
              <w:rPr>
                <w:rStyle w:val="Emphasis"/>
                <w:rFonts w:ascii="Hypatia Sans Pro" w:hAnsi="Hypatia Sans Pro"/>
                <w:i/>
                <w:color w:val="5E6164"/>
                <w:sz w:val="24"/>
                <w:szCs w:val="24"/>
              </w:rPr>
            </w:pPr>
            <w:r w:rsidRPr="00EB3A15">
              <w:rPr>
                <w:rFonts w:ascii="Hypatia Sans Pro" w:hAnsi="Hypatia Sans Pro"/>
                <w:i/>
                <w:iCs/>
                <w:szCs w:val="20"/>
              </w:rPr>
              <w:t>(Source: Office of the Insurance Commissioner)</w:t>
            </w:r>
          </w:p>
        </w:tc>
      </w:tr>
      <w:tr w:rsidR="00EB3A15" w:rsidRPr="00EB3A15" w14:paraId="5D8695B9" w14:textId="77777777" w:rsidTr="00FE596A">
        <w:tc>
          <w:tcPr>
            <w:tcW w:w="1192" w:type="dxa"/>
            <w:tcBorders>
              <w:top w:val="single" w:sz="12" w:space="0" w:color="31B1CA"/>
              <w:bottom w:val="single" w:sz="12" w:space="0" w:color="31B1CA"/>
            </w:tcBorders>
            <w:vAlign w:val="center"/>
          </w:tcPr>
          <w:p w14:paraId="31C877D0" w14:textId="77777777" w:rsidR="00662EEC" w:rsidRPr="00EB3A15" w:rsidRDefault="00662EEC" w:rsidP="00662EEC">
            <w:pPr>
              <w:jc w:val="center"/>
              <w:rPr>
                <w:rStyle w:val="Emphasis"/>
                <w:rFonts w:ascii="Hypatia Sans Pro" w:hAnsi="Hypatia Sans Pro"/>
                <w:b/>
                <w:bCs/>
                <w:sz w:val="32"/>
                <w:szCs w:val="32"/>
              </w:rPr>
            </w:pPr>
          </w:p>
        </w:tc>
        <w:tc>
          <w:tcPr>
            <w:tcW w:w="7104" w:type="dxa"/>
            <w:vAlign w:val="bottom"/>
          </w:tcPr>
          <w:p w14:paraId="72A921E7" w14:textId="77777777" w:rsidR="00662EEC" w:rsidRPr="00EB3A15" w:rsidRDefault="00662EEC" w:rsidP="00EB3A15">
            <w:pPr>
              <w:ind w:left="70"/>
              <w:rPr>
                <w:rFonts w:ascii="Hypatia Sans Pro" w:hAnsi="Hypatia Sans Pro"/>
                <w:sz w:val="24"/>
                <w:szCs w:val="24"/>
              </w:rPr>
            </w:pPr>
          </w:p>
        </w:tc>
      </w:tr>
      <w:tr w:rsidR="00EB3A15" w:rsidRPr="00EB3A15" w14:paraId="4574737D" w14:textId="77777777" w:rsidTr="00FE596A">
        <w:tc>
          <w:tcPr>
            <w:tcW w:w="1192" w:type="dxa"/>
            <w:tcBorders>
              <w:top w:val="single" w:sz="12" w:space="0" w:color="31B1CA"/>
              <w:left w:val="single" w:sz="12" w:space="0" w:color="31B1CA"/>
              <w:bottom w:val="single" w:sz="12" w:space="0" w:color="31B1CA"/>
              <w:right w:val="single" w:sz="12" w:space="0" w:color="31B1CA"/>
            </w:tcBorders>
            <w:vAlign w:val="center"/>
          </w:tcPr>
          <w:p w14:paraId="3BD71F43" w14:textId="4C9F0823" w:rsidR="00662EEC" w:rsidRPr="00EB3A15" w:rsidRDefault="00EB3A15" w:rsidP="00662EEC">
            <w:pPr>
              <w:jc w:val="center"/>
              <w:rPr>
                <w:rStyle w:val="Emphasis"/>
                <w:rFonts w:ascii="Hypatia Sans Pro" w:hAnsi="Hypatia Sans Pro"/>
                <w:b/>
                <w:bCs/>
                <w:sz w:val="32"/>
                <w:szCs w:val="32"/>
              </w:rPr>
            </w:pPr>
            <w:r w:rsidRPr="00EB3A15">
              <w:rPr>
                <w:rStyle w:val="Emphasis"/>
                <w:rFonts w:ascii="Hypatia Sans Pro" w:hAnsi="Hypatia Sans Pro"/>
                <w:b/>
                <w:bCs/>
                <w:sz w:val="32"/>
                <w:szCs w:val="32"/>
              </w:rPr>
              <w:t>$1.</w:t>
            </w:r>
            <w:r w:rsidRPr="00A3532F">
              <w:rPr>
                <w:rStyle w:val="Emphasis"/>
                <w:rFonts w:ascii="Hypatia Sans Pro" w:hAnsi="Hypatia Sans Pro"/>
                <w:b/>
                <w:bCs/>
                <w:sz w:val="32"/>
                <w:szCs w:val="32"/>
              </w:rPr>
              <w:t>11</w:t>
            </w:r>
            <w:r w:rsidRPr="00EB3A15">
              <w:rPr>
                <w:rStyle w:val="Emphasis"/>
                <w:rFonts w:ascii="Hypatia Sans Pro" w:hAnsi="Hypatia Sans Pro"/>
                <w:b/>
                <w:bCs/>
                <w:sz w:val="32"/>
                <w:szCs w:val="32"/>
              </w:rPr>
              <w:t xml:space="preserve"> Billion</w:t>
            </w:r>
          </w:p>
        </w:tc>
        <w:tc>
          <w:tcPr>
            <w:tcW w:w="7104" w:type="dxa"/>
            <w:tcBorders>
              <w:left w:val="single" w:sz="12" w:space="0" w:color="31B1CA"/>
            </w:tcBorders>
            <w:vAlign w:val="bottom"/>
          </w:tcPr>
          <w:p w14:paraId="46D71CB0" w14:textId="5262ACFA" w:rsidR="00662EEC" w:rsidRPr="00EB3A15" w:rsidRDefault="00EB3A15" w:rsidP="00EB3A15">
            <w:pPr>
              <w:ind w:left="70"/>
              <w:rPr>
                <w:rFonts w:ascii="Hypatia Sans Pro" w:hAnsi="Hypatia Sans Pro"/>
                <w:sz w:val="24"/>
                <w:szCs w:val="24"/>
              </w:rPr>
            </w:pPr>
            <w:r w:rsidRPr="00A3532F">
              <w:rPr>
                <w:rFonts w:ascii="Hypatia Sans Pro" w:hAnsi="Hypatia Sans Pro"/>
                <w:sz w:val="24"/>
                <w:szCs w:val="24"/>
              </w:rPr>
              <w:t>Total r</w:t>
            </w:r>
            <w:r w:rsidR="00662EEC" w:rsidRPr="00A3532F">
              <w:rPr>
                <w:rFonts w:ascii="Hypatia Sans Pro" w:hAnsi="Hypatia Sans Pro"/>
                <w:sz w:val="24"/>
                <w:szCs w:val="24"/>
              </w:rPr>
              <w:t>eduction in uncompensated care (bad debt plus charity care) statewide</w:t>
            </w:r>
            <w:r w:rsidRPr="00A3532F">
              <w:rPr>
                <w:rFonts w:ascii="Hypatia Sans Pro" w:hAnsi="Hypatia Sans Pro"/>
                <w:sz w:val="24"/>
                <w:szCs w:val="24"/>
              </w:rPr>
              <w:t>,</w:t>
            </w:r>
            <w:r w:rsidR="00662EEC" w:rsidRPr="00A3532F">
              <w:rPr>
                <w:rFonts w:ascii="Hypatia Sans Pro" w:hAnsi="Hypatia Sans Pro"/>
                <w:sz w:val="24"/>
                <w:szCs w:val="24"/>
              </w:rPr>
              <w:t xml:space="preserve"> </w:t>
            </w:r>
            <w:r w:rsidR="00662EEC" w:rsidRPr="00A3532F">
              <w:rPr>
                <w:rFonts w:ascii="Hypatia Sans Pro" w:hAnsi="Hypatia Sans Pro"/>
                <w:b/>
                <w:bCs/>
                <w:color w:val="C64920"/>
                <w:sz w:val="24"/>
                <w:szCs w:val="24"/>
              </w:rPr>
              <w:t xml:space="preserve">from </w:t>
            </w:r>
            <w:r w:rsidR="00A3532F" w:rsidRPr="00A3532F">
              <w:rPr>
                <w:rFonts w:ascii="Hypatia Sans Pro" w:hAnsi="Hypatia Sans Pro"/>
                <w:b/>
                <w:bCs/>
                <w:iCs/>
                <w:color w:val="C64920"/>
                <w:sz w:val="24"/>
                <w:szCs w:val="24"/>
              </w:rPr>
              <w:t>$</w:t>
            </w:r>
            <w:r w:rsidR="00662EEC" w:rsidRPr="00A3532F">
              <w:rPr>
                <w:rFonts w:ascii="Hypatia Sans Pro" w:hAnsi="Hypatia Sans Pro"/>
                <w:b/>
                <w:bCs/>
                <w:iCs/>
                <w:color w:val="C64920"/>
                <w:sz w:val="24"/>
                <w:szCs w:val="24"/>
              </w:rPr>
              <w:t xml:space="preserve">2.35 Billion in 2013 to </w:t>
            </w:r>
            <w:r w:rsidR="00A3532F" w:rsidRPr="00A3532F">
              <w:rPr>
                <w:rFonts w:ascii="Hypatia Sans Pro" w:hAnsi="Hypatia Sans Pro"/>
                <w:b/>
                <w:bCs/>
                <w:iCs/>
                <w:color w:val="C64920"/>
                <w:sz w:val="24"/>
                <w:szCs w:val="24"/>
              </w:rPr>
              <w:t>$</w:t>
            </w:r>
            <w:r w:rsidR="00662EEC" w:rsidRPr="00A3532F">
              <w:rPr>
                <w:rFonts w:ascii="Hypatia Sans Pro" w:hAnsi="Hypatia Sans Pro"/>
                <w:b/>
                <w:bCs/>
                <w:iCs/>
                <w:color w:val="C64920"/>
                <w:sz w:val="24"/>
                <w:szCs w:val="24"/>
              </w:rPr>
              <w:t>1.24 Billion</w:t>
            </w:r>
            <w:r w:rsidR="00662EEC" w:rsidRPr="00A3532F">
              <w:rPr>
                <w:rFonts w:ascii="Hypatia Sans Pro" w:hAnsi="Hypatia Sans Pro"/>
                <w:b/>
                <w:bCs/>
                <w:color w:val="C64920"/>
                <w:sz w:val="24"/>
                <w:szCs w:val="24"/>
              </w:rPr>
              <w:t xml:space="preserve"> in 2014</w:t>
            </w:r>
            <w:r w:rsidR="00662EEC" w:rsidRPr="00A3532F">
              <w:rPr>
                <w:rFonts w:ascii="Hypatia Sans Pro" w:hAnsi="Hypatia Sans Pro"/>
                <w:color w:val="C64920"/>
                <w:sz w:val="24"/>
                <w:szCs w:val="24"/>
              </w:rPr>
              <w:t xml:space="preserve"> </w:t>
            </w:r>
            <w:r w:rsidR="00662EEC" w:rsidRPr="00EB3A15">
              <w:rPr>
                <w:rFonts w:ascii="Hypatia Sans Pro" w:hAnsi="Hypatia Sans Pro"/>
                <w:sz w:val="24"/>
                <w:szCs w:val="24"/>
              </w:rPr>
              <w:br/>
            </w:r>
            <w:r w:rsidR="00662EEC" w:rsidRPr="00EB3A15">
              <w:rPr>
                <w:rFonts w:ascii="Hypatia Sans Pro" w:hAnsi="Hypatia Sans Pro"/>
                <w:i/>
                <w:iCs/>
                <w:szCs w:val="20"/>
              </w:rPr>
              <w:t>(Source: Health Benefit Exchange)</w:t>
            </w:r>
          </w:p>
        </w:tc>
      </w:tr>
      <w:tr w:rsidR="00EB3A15" w:rsidRPr="00EB3A15" w14:paraId="42B1844E" w14:textId="77777777" w:rsidTr="00FE596A">
        <w:tc>
          <w:tcPr>
            <w:tcW w:w="1192" w:type="dxa"/>
            <w:tcBorders>
              <w:top w:val="single" w:sz="12" w:space="0" w:color="31B1CA"/>
              <w:bottom w:val="single" w:sz="12" w:space="0" w:color="31B1CA"/>
            </w:tcBorders>
            <w:vAlign w:val="center"/>
          </w:tcPr>
          <w:p w14:paraId="278B898C" w14:textId="77777777" w:rsidR="00EB3A15" w:rsidRPr="00EB3A15" w:rsidRDefault="00EB3A15" w:rsidP="00662EEC">
            <w:pPr>
              <w:jc w:val="center"/>
              <w:rPr>
                <w:rStyle w:val="Emphasis"/>
                <w:rFonts w:ascii="Hypatia Sans Pro" w:hAnsi="Hypatia Sans Pro"/>
                <w:b/>
                <w:bCs/>
                <w:sz w:val="32"/>
                <w:szCs w:val="32"/>
              </w:rPr>
            </w:pPr>
          </w:p>
        </w:tc>
        <w:tc>
          <w:tcPr>
            <w:tcW w:w="7104" w:type="dxa"/>
            <w:vAlign w:val="bottom"/>
          </w:tcPr>
          <w:p w14:paraId="2F28938E" w14:textId="77777777" w:rsidR="00EB3A15" w:rsidRPr="00EB3A15" w:rsidRDefault="00EB3A15" w:rsidP="00EB3A15">
            <w:pPr>
              <w:ind w:left="70"/>
              <w:rPr>
                <w:rFonts w:ascii="Hypatia Sans Pro" w:hAnsi="Hypatia Sans Pro"/>
                <w:sz w:val="24"/>
                <w:szCs w:val="24"/>
              </w:rPr>
            </w:pPr>
          </w:p>
        </w:tc>
      </w:tr>
      <w:tr w:rsidR="00EB3A15" w:rsidRPr="00EB3A15" w14:paraId="3F40D3CB" w14:textId="77777777" w:rsidTr="00FE596A">
        <w:trPr>
          <w:trHeight w:val="278"/>
        </w:trPr>
        <w:tc>
          <w:tcPr>
            <w:tcW w:w="1192" w:type="dxa"/>
            <w:tcBorders>
              <w:top w:val="single" w:sz="12" w:space="0" w:color="31B1CA"/>
              <w:left w:val="single" w:sz="12" w:space="0" w:color="31B1CA"/>
              <w:bottom w:val="single" w:sz="12" w:space="0" w:color="31B1CA"/>
              <w:right w:val="single" w:sz="12" w:space="0" w:color="31B1CA"/>
            </w:tcBorders>
            <w:vAlign w:val="center"/>
          </w:tcPr>
          <w:p w14:paraId="2632C8D2" w14:textId="59C99310" w:rsidR="00662EEC" w:rsidRPr="00EB3A15" w:rsidRDefault="00662EEC" w:rsidP="00662EEC">
            <w:pPr>
              <w:jc w:val="center"/>
              <w:rPr>
                <w:rStyle w:val="Emphasis"/>
                <w:rFonts w:ascii="Hypatia Sans Pro" w:hAnsi="Hypatia Sans Pro"/>
                <w:b/>
                <w:bCs/>
                <w:sz w:val="32"/>
                <w:szCs w:val="32"/>
              </w:rPr>
            </w:pPr>
            <w:r w:rsidRPr="00EB3A15">
              <w:rPr>
                <w:rStyle w:val="Emphasis"/>
                <w:rFonts w:ascii="Hypatia Sans Pro" w:hAnsi="Hypatia Sans Pro"/>
                <w:b/>
                <w:bCs/>
                <w:sz w:val="32"/>
                <w:szCs w:val="32"/>
              </w:rPr>
              <w:t>1,355</w:t>
            </w:r>
          </w:p>
        </w:tc>
        <w:tc>
          <w:tcPr>
            <w:tcW w:w="7104" w:type="dxa"/>
            <w:tcBorders>
              <w:left w:val="single" w:sz="12" w:space="0" w:color="31B1CA"/>
            </w:tcBorders>
            <w:vAlign w:val="bottom"/>
          </w:tcPr>
          <w:p w14:paraId="054EE8AC" w14:textId="162BFAD9" w:rsidR="00662EEC" w:rsidRPr="00EB3A15" w:rsidRDefault="00EB3A15" w:rsidP="00EB3A15">
            <w:pPr>
              <w:ind w:left="70"/>
              <w:rPr>
                <w:rFonts w:ascii="Hypatia Sans Pro" w:hAnsi="Hypatia Sans Pro"/>
                <w:sz w:val="24"/>
                <w:szCs w:val="24"/>
              </w:rPr>
            </w:pPr>
            <w:r w:rsidRPr="00EB3A15">
              <w:rPr>
                <w:rFonts w:ascii="Hypatia Sans Pro" w:hAnsi="Hypatia Sans Pro"/>
                <w:sz w:val="24"/>
                <w:szCs w:val="24"/>
              </w:rPr>
              <w:t xml:space="preserve">Number of </w:t>
            </w:r>
            <w:r w:rsidR="00662EEC" w:rsidRPr="00EB3A15">
              <w:rPr>
                <w:rFonts w:ascii="Hypatia Sans Pro" w:hAnsi="Hypatia Sans Pro"/>
                <w:sz w:val="24"/>
                <w:szCs w:val="24"/>
              </w:rPr>
              <w:t xml:space="preserve">new health care related jobs added to our region in 2015 </w:t>
            </w:r>
            <w:r w:rsidR="00662EEC" w:rsidRPr="00EB3A15">
              <w:rPr>
                <w:rFonts w:ascii="Hypatia Sans Pro" w:hAnsi="Hypatia Sans Pro"/>
                <w:sz w:val="24"/>
                <w:szCs w:val="24"/>
              </w:rPr>
              <w:br/>
            </w:r>
            <w:r w:rsidR="00662EEC" w:rsidRPr="00EB3A15">
              <w:rPr>
                <w:rFonts w:ascii="Hypatia Sans Pro" w:hAnsi="Hypatia Sans Pro"/>
                <w:i/>
                <w:iCs/>
                <w:szCs w:val="20"/>
              </w:rPr>
              <w:t>(Source: Washington Employment Security Department)</w:t>
            </w:r>
          </w:p>
        </w:tc>
      </w:tr>
    </w:tbl>
    <w:p w14:paraId="091EFFF9" w14:textId="77777777" w:rsidR="00995A28" w:rsidRDefault="00995A28" w:rsidP="006D2FDC">
      <w:pPr>
        <w:spacing w:line="240" w:lineRule="auto"/>
        <w:rPr>
          <w:rFonts w:ascii="Hypatia Sans Pro" w:hAnsi="Hypatia Sans Pro"/>
          <w:sz w:val="28"/>
          <w:szCs w:val="28"/>
        </w:rPr>
      </w:pPr>
    </w:p>
    <w:p w14:paraId="67E944A3" w14:textId="09A21A55" w:rsidR="00FE596A" w:rsidRPr="006D2FDC" w:rsidRDefault="00FE596A" w:rsidP="00FE596A">
      <w:pPr>
        <w:spacing w:line="240" w:lineRule="auto"/>
        <w:ind w:left="-1440"/>
        <w:rPr>
          <w:rFonts w:ascii="Hypatia Sans Pro" w:hAnsi="Hypatia Sans Pro"/>
          <w:sz w:val="32"/>
          <w:szCs w:val="32"/>
        </w:rPr>
      </w:pPr>
      <w:r w:rsidRPr="006D2FDC">
        <w:rPr>
          <w:rFonts w:ascii="Hypatia Sans Pro" w:hAnsi="Hypatia Sans Pro"/>
          <w:sz w:val="32"/>
          <w:szCs w:val="32"/>
        </w:rPr>
        <w:lastRenderedPageBreak/>
        <w:t xml:space="preserve">On </w:t>
      </w:r>
      <w:r w:rsidRPr="006D2FDC">
        <w:rPr>
          <w:rFonts w:ascii="Hypatia Sans Pro" w:hAnsi="Hypatia Sans Pro"/>
          <w:b/>
          <w:bCs/>
          <w:color w:val="C64920"/>
          <w:sz w:val="32"/>
          <w:szCs w:val="32"/>
        </w:rPr>
        <w:t>Access to Care</w:t>
      </w:r>
      <w:r w:rsidRPr="006D2FDC">
        <w:rPr>
          <w:rFonts w:ascii="Hypatia Sans Pro" w:hAnsi="Hypatia Sans Pro"/>
          <w:color w:val="C64920"/>
          <w:sz w:val="32"/>
          <w:szCs w:val="32"/>
        </w:rPr>
        <w:t xml:space="preserve"> </w:t>
      </w:r>
      <w:r w:rsidRPr="006D2FDC">
        <w:rPr>
          <w:rFonts w:ascii="Hypatia Sans Pro" w:hAnsi="Hypatia Sans Pro"/>
          <w:sz w:val="32"/>
          <w:szCs w:val="32"/>
        </w:rPr>
        <w:t>since the ACA:</w:t>
      </w:r>
    </w:p>
    <w:p w14:paraId="7AFB1B45" w14:textId="2D473DB7" w:rsidR="00FE596A" w:rsidRPr="006D2FDC" w:rsidRDefault="00FE596A" w:rsidP="0032649E">
      <w:pPr>
        <w:pStyle w:val="ListParagraph"/>
        <w:numPr>
          <w:ilvl w:val="0"/>
          <w:numId w:val="26"/>
        </w:numPr>
        <w:spacing w:line="240" w:lineRule="auto"/>
        <w:rPr>
          <w:rFonts w:ascii="Hypatia Sans Pro" w:hAnsi="Hypatia Sans Pro"/>
          <w:sz w:val="26"/>
          <w:szCs w:val="26"/>
        </w:rPr>
      </w:pPr>
      <w:r w:rsidRPr="006D2FDC">
        <w:rPr>
          <w:rFonts w:ascii="Hypatia Sans Pro" w:hAnsi="Hypatia Sans Pro"/>
          <w:sz w:val="26"/>
          <w:szCs w:val="26"/>
        </w:rPr>
        <w:t xml:space="preserve">The </w:t>
      </w:r>
      <w:r w:rsidR="0032649E" w:rsidRPr="006D2FDC">
        <w:rPr>
          <w:rFonts w:ascii="Hypatia Sans Pro" w:hAnsi="Hypatia Sans Pro"/>
          <w:sz w:val="26"/>
          <w:szCs w:val="26"/>
        </w:rPr>
        <w:t xml:space="preserve">state </w:t>
      </w:r>
      <w:r w:rsidRPr="006D2FDC">
        <w:rPr>
          <w:rFonts w:ascii="Hypatia Sans Pro" w:hAnsi="Hypatia Sans Pro"/>
          <w:sz w:val="26"/>
          <w:szCs w:val="26"/>
        </w:rPr>
        <w:t>uninsured rate declined by nearly 60%</w:t>
      </w:r>
      <w:r w:rsidRPr="006D2FDC">
        <w:rPr>
          <w:rFonts w:ascii="Hypatia Sans Pro" w:hAnsi="Hypatia Sans Pro"/>
          <w:color w:val="C64920"/>
          <w:sz w:val="26"/>
          <w:szCs w:val="26"/>
        </w:rPr>
        <w:t xml:space="preserve"> </w:t>
      </w:r>
      <w:r w:rsidRPr="006D2FDC">
        <w:rPr>
          <w:rFonts w:ascii="Hypatia Sans Pro" w:hAnsi="Hypatia Sans Pro"/>
          <w:sz w:val="26"/>
          <w:szCs w:val="26"/>
        </w:rPr>
        <w:t>between 2013 and 2015, with decline recorded across all population groups in 2014 and 2015.</w:t>
      </w:r>
    </w:p>
    <w:p w14:paraId="0E522227" w14:textId="77D386B3" w:rsidR="00FE596A" w:rsidRPr="006D2FDC" w:rsidRDefault="00FE596A" w:rsidP="00FE596A">
      <w:pPr>
        <w:pStyle w:val="ListParagraph"/>
        <w:numPr>
          <w:ilvl w:val="0"/>
          <w:numId w:val="26"/>
        </w:numPr>
        <w:spacing w:line="240" w:lineRule="auto"/>
        <w:rPr>
          <w:rFonts w:ascii="Hypatia Sans Pro" w:hAnsi="Hypatia Sans Pro"/>
          <w:sz w:val="26"/>
          <w:szCs w:val="26"/>
        </w:rPr>
      </w:pPr>
      <w:r w:rsidRPr="006D2FDC">
        <w:rPr>
          <w:rFonts w:ascii="Hypatia Sans Pro" w:hAnsi="Hypatia Sans Pro"/>
          <w:sz w:val="26"/>
          <w:szCs w:val="26"/>
        </w:rPr>
        <w:t>In more than half of the legislative districts in Washington (five out of seven BHT counties), over 15% of adults 19 to 64 gained covera</w:t>
      </w:r>
      <w:r w:rsidR="0016338D" w:rsidRPr="006D2FDC">
        <w:rPr>
          <w:rFonts w:ascii="Hypatia Sans Pro" w:hAnsi="Hypatia Sans Pro"/>
          <w:sz w:val="26"/>
          <w:szCs w:val="26"/>
        </w:rPr>
        <w:t>ge under</w:t>
      </w:r>
      <w:r w:rsidRPr="006D2FDC">
        <w:rPr>
          <w:rFonts w:ascii="Hypatia Sans Pro" w:hAnsi="Hypatia Sans Pro"/>
          <w:sz w:val="26"/>
          <w:szCs w:val="26"/>
        </w:rPr>
        <w:t xml:space="preserve"> Medicaid expansion. </w:t>
      </w:r>
    </w:p>
    <w:p w14:paraId="7FF4DDD9" w14:textId="32AA80B0" w:rsidR="00FE596A" w:rsidRPr="006D2FDC" w:rsidRDefault="00FE596A" w:rsidP="00FE596A">
      <w:pPr>
        <w:pStyle w:val="ListParagraph"/>
        <w:numPr>
          <w:ilvl w:val="0"/>
          <w:numId w:val="28"/>
        </w:numPr>
        <w:spacing w:line="240" w:lineRule="auto"/>
        <w:rPr>
          <w:rFonts w:ascii="Hypatia Sans Pro" w:hAnsi="Hypatia Sans Pro"/>
          <w:sz w:val="26"/>
          <w:szCs w:val="26"/>
        </w:rPr>
      </w:pPr>
      <w:r w:rsidRPr="006D2FDC">
        <w:rPr>
          <w:rFonts w:ascii="Hypatia Sans Pro" w:hAnsi="Hypatia Sans Pro"/>
          <w:sz w:val="26"/>
          <w:szCs w:val="26"/>
        </w:rPr>
        <w:t>The number of adults delaying care due to costs</w:t>
      </w:r>
      <w:r w:rsidR="006D2FDC" w:rsidRPr="006D2FDC">
        <w:rPr>
          <w:rFonts w:ascii="Hypatia Sans Pro" w:hAnsi="Hypatia Sans Pro"/>
          <w:sz w:val="26"/>
          <w:szCs w:val="26"/>
        </w:rPr>
        <w:t xml:space="preserve"> statewide</w:t>
      </w:r>
      <w:r w:rsidRPr="006D2FDC">
        <w:rPr>
          <w:rFonts w:ascii="Hypatia Sans Pro" w:hAnsi="Hypatia Sans Pro"/>
          <w:sz w:val="26"/>
          <w:szCs w:val="26"/>
        </w:rPr>
        <w:t xml:space="preserve"> dropped from 15.5%</w:t>
      </w:r>
      <w:r w:rsidR="00995A28" w:rsidRPr="006D2FDC">
        <w:rPr>
          <w:rFonts w:ascii="Hypatia Sans Pro" w:hAnsi="Hypatia Sans Pro"/>
          <w:sz w:val="26"/>
          <w:szCs w:val="26"/>
        </w:rPr>
        <w:t xml:space="preserve"> </w:t>
      </w:r>
      <w:r w:rsidRPr="006D2FDC">
        <w:rPr>
          <w:rFonts w:ascii="Hypatia Sans Pro" w:hAnsi="Hypatia Sans Pro"/>
          <w:sz w:val="26"/>
          <w:szCs w:val="26"/>
        </w:rPr>
        <w:t xml:space="preserve">in 2013 to 11.1% in 2015.  </w:t>
      </w:r>
    </w:p>
    <w:p w14:paraId="6FEFCA10" w14:textId="0C4A9638" w:rsidR="00FE596A" w:rsidRPr="006D2FDC" w:rsidRDefault="00FE596A" w:rsidP="00FE596A">
      <w:pPr>
        <w:pStyle w:val="ListParagraph"/>
        <w:numPr>
          <w:ilvl w:val="0"/>
          <w:numId w:val="28"/>
        </w:numPr>
        <w:spacing w:line="240" w:lineRule="auto"/>
        <w:rPr>
          <w:rFonts w:ascii="Hypatia Sans Pro" w:hAnsi="Hypatia Sans Pro"/>
          <w:sz w:val="26"/>
          <w:szCs w:val="26"/>
        </w:rPr>
      </w:pPr>
      <w:r w:rsidRPr="006D2FDC">
        <w:rPr>
          <w:rFonts w:ascii="Hypatia Sans Pro" w:hAnsi="Hypatia Sans Pro"/>
          <w:sz w:val="26"/>
          <w:szCs w:val="26"/>
        </w:rPr>
        <w:t>Since January 2014, more than 20,000 adults</w:t>
      </w:r>
      <w:r w:rsidR="006D2FDC" w:rsidRPr="006D2FDC">
        <w:rPr>
          <w:rFonts w:ascii="Hypatia Sans Pro" w:hAnsi="Hypatia Sans Pro"/>
          <w:sz w:val="26"/>
          <w:szCs w:val="26"/>
        </w:rPr>
        <w:t xml:space="preserve"> statewide</w:t>
      </w:r>
      <w:r w:rsidRPr="006D2FDC">
        <w:rPr>
          <w:rFonts w:ascii="Hypatia Sans Pro" w:hAnsi="Hypatia Sans Pro"/>
          <w:sz w:val="26"/>
          <w:szCs w:val="26"/>
        </w:rPr>
        <w:t xml:space="preserve"> have been treated for </w:t>
      </w:r>
      <w:r w:rsidR="00995A28" w:rsidRPr="006D2FDC">
        <w:rPr>
          <w:rFonts w:ascii="Hypatia Sans Pro" w:hAnsi="Hypatia Sans Pro"/>
          <w:sz w:val="26"/>
          <w:szCs w:val="26"/>
        </w:rPr>
        <w:t xml:space="preserve">cancer while enrolled under </w:t>
      </w:r>
      <w:r w:rsidRPr="006D2FDC">
        <w:rPr>
          <w:rFonts w:ascii="Hypatia Sans Pro" w:hAnsi="Hypatia Sans Pro"/>
          <w:sz w:val="26"/>
          <w:szCs w:val="26"/>
        </w:rPr>
        <w:t>Medicaid expansion.</w:t>
      </w:r>
    </w:p>
    <w:p w14:paraId="721C5716" w14:textId="2471893C" w:rsidR="0056408A" w:rsidRPr="006D2FDC" w:rsidRDefault="00FE596A" w:rsidP="00FE596A">
      <w:pPr>
        <w:pStyle w:val="ListParagraph"/>
        <w:numPr>
          <w:ilvl w:val="0"/>
          <w:numId w:val="28"/>
        </w:numPr>
        <w:spacing w:line="240" w:lineRule="auto"/>
        <w:rPr>
          <w:rFonts w:ascii="Hypatia Sans Pro" w:hAnsi="Hypatia Sans Pro"/>
          <w:sz w:val="26"/>
          <w:szCs w:val="26"/>
        </w:rPr>
      </w:pPr>
      <w:r w:rsidRPr="006D2FDC">
        <w:rPr>
          <w:rFonts w:ascii="Hypatia Sans Pro" w:hAnsi="Hypatia Sans Pro"/>
          <w:sz w:val="26"/>
          <w:szCs w:val="26"/>
        </w:rPr>
        <w:t>In calendar year 2015, almost 30,000 new</w:t>
      </w:r>
      <w:r w:rsidR="006D2FDC" w:rsidRPr="006D2FDC">
        <w:rPr>
          <w:rFonts w:ascii="Hypatia Sans Pro" w:hAnsi="Hypatia Sans Pro"/>
          <w:sz w:val="26"/>
          <w:szCs w:val="26"/>
        </w:rPr>
        <w:t xml:space="preserve"> statewide</w:t>
      </w:r>
      <w:r w:rsidRPr="006D2FDC">
        <w:rPr>
          <w:rFonts w:ascii="Hypatia Sans Pro" w:hAnsi="Hypatia Sans Pro"/>
          <w:sz w:val="26"/>
          <w:szCs w:val="26"/>
        </w:rPr>
        <w:t xml:space="preserve"> adult Medicaid enrollees received substance use disorder treatment services.</w:t>
      </w:r>
    </w:p>
    <w:p w14:paraId="31988975" w14:textId="77777777" w:rsidR="0056408A" w:rsidRPr="006D2FDC" w:rsidRDefault="0056408A" w:rsidP="00FE596A">
      <w:pPr>
        <w:spacing w:line="240" w:lineRule="auto"/>
        <w:rPr>
          <w:rFonts w:ascii="Hypatia Sans Pro" w:hAnsi="Hypatia Sans Pro"/>
          <w:szCs w:val="20"/>
        </w:rPr>
      </w:pPr>
    </w:p>
    <w:p w14:paraId="0C33865E" w14:textId="072B2DA6" w:rsidR="0056408A" w:rsidRPr="006D2FDC" w:rsidRDefault="00FE596A" w:rsidP="00995A28">
      <w:pPr>
        <w:spacing w:line="240" w:lineRule="auto"/>
        <w:ind w:left="-1440"/>
        <w:rPr>
          <w:rFonts w:ascii="Hypatia Sans Pro" w:hAnsi="Hypatia Sans Pro"/>
          <w:sz w:val="32"/>
          <w:szCs w:val="32"/>
        </w:rPr>
      </w:pPr>
      <w:r w:rsidRPr="006D2FDC">
        <w:rPr>
          <w:rFonts w:ascii="Hypatia Sans Pro" w:hAnsi="Hypatia Sans Pro"/>
          <w:sz w:val="32"/>
          <w:szCs w:val="32"/>
        </w:rPr>
        <w:t xml:space="preserve">On </w:t>
      </w:r>
      <w:r w:rsidR="00995A28" w:rsidRPr="006D2FDC">
        <w:rPr>
          <w:rFonts w:ascii="Hypatia Sans Pro" w:hAnsi="Hypatia Sans Pro"/>
          <w:b/>
          <w:bCs/>
          <w:color w:val="C64920"/>
          <w:sz w:val="32"/>
          <w:szCs w:val="32"/>
        </w:rPr>
        <w:t>Economic Impact</w:t>
      </w:r>
      <w:r w:rsidR="0056408A" w:rsidRPr="006D2FDC">
        <w:rPr>
          <w:rFonts w:ascii="Hypatia Sans Pro" w:hAnsi="Hypatia Sans Pro"/>
          <w:sz w:val="32"/>
          <w:szCs w:val="32"/>
        </w:rPr>
        <w:t>:</w:t>
      </w:r>
    </w:p>
    <w:p w14:paraId="3A8B3768" w14:textId="6162C457" w:rsidR="0056408A" w:rsidRPr="006D2FDC" w:rsidRDefault="00995A28" w:rsidP="00995A28">
      <w:pPr>
        <w:pStyle w:val="ListParagraph"/>
        <w:numPr>
          <w:ilvl w:val="0"/>
          <w:numId w:val="27"/>
        </w:numPr>
        <w:rPr>
          <w:rFonts w:ascii="Hypatia Sans Pro" w:hAnsi="Hypatia Sans Pro"/>
          <w:sz w:val="26"/>
          <w:szCs w:val="26"/>
        </w:rPr>
      </w:pPr>
      <w:r w:rsidRPr="006D2FDC">
        <w:rPr>
          <w:rFonts w:ascii="Hypatia Sans Pro" w:hAnsi="Hypatia Sans Pro"/>
          <w:sz w:val="26"/>
          <w:szCs w:val="26"/>
        </w:rPr>
        <w:t>By June 2017 t</w:t>
      </w:r>
      <w:r w:rsidR="00F3352C" w:rsidRPr="006D2FDC">
        <w:rPr>
          <w:rFonts w:ascii="Hypatia Sans Pro" w:hAnsi="Hypatia Sans Pro"/>
          <w:sz w:val="26"/>
          <w:szCs w:val="26"/>
        </w:rPr>
        <w:t xml:space="preserve">he state budget will have benefited by nearly $1 billion through refinancing health programs that were previously funded by the State-General Fund and through premium taxes from </w:t>
      </w:r>
      <w:r w:rsidRPr="006D2FDC">
        <w:rPr>
          <w:rFonts w:ascii="Hypatia Sans Pro" w:hAnsi="Hypatia Sans Pro"/>
          <w:sz w:val="26"/>
          <w:szCs w:val="26"/>
        </w:rPr>
        <w:t>health plans</w:t>
      </w:r>
      <w:r w:rsidR="00F3352C" w:rsidRPr="006D2FDC">
        <w:rPr>
          <w:rFonts w:ascii="Hypatia Sans Pro" w:hAnsi="Hypatia Sans Pro"/>
          <w:sz w:val="26"/>
          <w:szCs w:val="26"/>
        </w:rPr>
        <w:t xml:space="preserve"> serving</w:t>
      </w:r>
      <w:r w:rsidRPr="006D2FDC">
        <w:rPr>
          <w:rFonts w:ascii="Hypatia Sans Pro" w:hAnsi="Hypatia Sans Pro"/>
          <w:sz w:val="26"/>
          <w:szCs w:val="26"/>
        </w:rPr>
        <w:t xml:space="preserve"> the expansion adult population.</w:t>
      </w:r>
    </w:p>
    <w:p w14:paraId="258373C2" w14:textId="4169A0CC" w:rsidR="0056408A" w:rsidRPr="006D2FDC" w:rsidRDefault="0016338D" w:rsidP="006D2FDC">
      <w:pPr>
        <w:pStyle w:val="ListParagraph"/>
        <w:numPr>
          <w:ilvl w:val="0"/>
          <w:numId w:val="27"/>
        </w:numPr>
        <w:spacing w:line="240" w:lineRule="auto"/>
        <w:rPr>
          <w:rFonts w:ascii="Hypatia Sans Pro" w:hAnsi="Hypatia Sans Pro"/>
          <w:sz w:val="26"/>
          <w:szCs w:val="26"/>
        </w:rPr>
      </w:pPr>
      <w:r w:rsidRPr="006D2FDC">
        <w:rPr>
          <w:rFonts w:ascii="Hypatia Sans Pro" w:hAnsi="Hypatia Sans Pro"/>
          <w:sz w:val="26"/>
          <w:szCs w:val="26"/>
        </w:rPr>
        <w:t>51,196 health care related jobs were created or saved</w:t>
      </w:r>
      <w:r w:rsidR="00995A28" w:rsidRPr="006D2FDC">
        <w:rPr>
          <w:rFonts w:ascii="Hypatia Sans Pro" w:hAnsi="Hypatia Sans Pro"/>
          <w:sz w:val="26"/>
          <w:szCs w:val="26"/>
        </w:rPr>
        <w:t xml:space="preserve"> statewide</w:t>
      </w:r>
      <w:r w:rsidRPr="006D2FDC">
        <w:rPr>
          <w:rFonts w:ascii="Hypatia Sans Pro" w:hAnsi="Hypatia Sans Pro"/>
          <w:sz w:val="26"/>
          <w:szCs w:val="26"/>
        </w:rPr>
        <w:t xml:space="preserve"> in 2015 by the ACA</w:t>
      </w:r>
    </w:p>
    <w:p w14:paraId="43643B38" w14:textId="77777777" w:rsidR="00FE596A" w:rsidRPr="006D2FDC" w:rsidRDefault="00FE596A" w:rsidP="00FE596A">
      <w:pPr>
        <w:pStyle w:val="ListParagraph"/>
        <w:numPr>
          <w:ilvl w:val="0"/>
          <w:numId w:val="27"/>
        </w:numPr>
        <w:spacing w:line="240" w:lineRule="auto"/>
        <w:rPr>
          <w:rFonts w:ascii="Hypatia Sans Pro" w:hAnsi="Hypatia Sans Pro"/>
          <w:sz w:val="26"/>
          <w:szCs w:val="26"/>
        </w:rPr>
      </w:pPr>
      <w:r w:rsidRPr="006D2FDC">
        <w:rPr>
          <w:rFonts w:ascii="Hypatia Sans Pro" w:hAnsi="Hypatia Sans Pro"/>
          <w:sz w:val="26"/>
          <w:szCs w:val="26"/>
        </w:rPr>
        <w:t xml:space="preserve">If repealed without a replacement the state and the people covered stand to lose $3.0 billion in FY18 and $3.2 billion in FY19 including loss of tax credit subsidies and loss of funding for the Medicaid expansion population. </w:t>
      </w:r>
    </w:p>
    <w:p w14:paraId="2B890A7E" w14:textId="26E14B0F" w:rsidR="00FE596A" w:rsidRPr="006D2FDC" w:rsidRDefault="00FE596A" w:rsidP="0016338D">
      <w:pPr>
        <w:pStyle w:val="ListParagraph"/>
        <w:numPr>
          <w:ilvl w:val="0"/>
          <w:numId w:val="27"/>
        </w:numPr>
        <w:spacing w:line="240" w:lineRule="auto"/>
        <w:rPr>
          <w:rFonts w:ascii="Hypatia Sans Pro" w:hAnsi="Hypatia Sans Pro"/>
          <w:sz w:val="26"/>
          <w:szCs w:val="26"/>
        </w:rPr>
      </w:pPr>
      <w:r w:rsidRPr="006D2FDC">
        <w:rPr>
          <w:rFonts w:ascii="Hypatia Sans Pro" w:hAnsi="Hypatia Sans Pro"/>
          <w:sz w:val="26"/>
          <w:szCs w:val="26"/>
        </w:rPr>
        <w:t>The state will need to pay out about $330 million every two years to return previous programs that were supplanted by the ACA.</w:t>
      </w:r>
    </w:p>
    <w:p w14:paraId="4F5E271D" w14:textId="77777777" w:rsidR="00FE596A" w:rsidRPr="006D2FDC" w:rsidRDefault="00FE596A" w:rsidP="00FE596A">
      <w:pPr>
        <w:pStyle w:val="ListParagraph"/>
        <w:spacing w:line="240" w:lineRule="auto"/>
        <w:ind w:left="-720"/>
        <w:rPr>
          <w:rFonts w:ascii="Hypatia Sans Pro" w:hAnsi="Hypatia Sans Pro"/>
          <w:szCs w:val="20"/>
        </w:rPr>
      </w:pPr>
    </w:p>
    <w:p w14:paraId="16D41F0E" w14:textId="2001C37C" w:rsidR="00F3352C" w:rsidRPr="006D2FDC" w:rsidRDefault="00995A28" w:rsidP="0056408A">
      <w:pPr>
        <w:spacing w:line="240" w:lineRule="auto"/>
        <w:ind w:left="-1440"/>
        <w:rPr>
          <w:rFonts w:ascii="Hypatia Sans Pro" w:hAnsi="Hypatia Sans Pro"/>
          <w:sz w:val="32"/>
          <w:szCs w:val="32"/>
        </w:rPr>
      </w:pPr>
      <w:r w:rsidRPr="006D2FDC">
        <w:rPr>
          <w:rFonts w:ascii="Hypatia Sans Pro" w:hAnsi="Hypatia Sans Pro"/>
          <w:sz w:val="32"/>
          <w:szCs w:val="32"/>
        </w:rPr>
        <w:t xml:space="preserve">On </w:t>
      </w:r>
      <w:r w:rsidR="00F3352C" w:rsidRPr="006D2FDC">
        <w:rPr>
          <w:rFonts w:ascii="Hypatia Sans Pro" w:hAnsi="Hypatia Sans Pro"/>
          <w:b/>
          <w:bCs/>
          <w:color w:val="C64920"/>
          <w:sz w:val="32"/>
          <w:szCs w:val="32"/>
        </w:rPr>
        <w:t>Health Systems</w:t>
      </w:r>
      <w:r w:rsidRPr="006D2FDC">
        <w:rPr>
          <w:rFonts w:ascii="Hypatia Sans Pro" w:hAnsi="Hypatia Sans Pro"/>
          <w:b/>
          <w:bCs/>
          <w:color w:val="C64920"/>
          <w:sz w:val="32"/>
          <w:szCs w:val="32"/>
        </w:rPr>
        <w:t xml:space="preserve"> Impact</w:t>
      </w:r>
      <w:r w:rsidR="00F3352C" w:rsidRPr="006D2FDC">
        <w:rPr>
          <w:rFonts w:ascii="Hypatia Sans Pro" w:hAnsi="Hypatia Sans Pro"/>
          <w:sz w:val="32"/>
          <w:szCs w:val="32"/>
        </w:rPr>
        <w:t>:</w:t>
      </w:r>
    </w:p>
    <w:p w14:paraId="173FB9D6" w14:textId="09E993FD" w:rsidR="00EB7C04" w:rsidRPr="006D2FDC" w:rsidRDefault="00F3352C" w:rsidP="00EB7C04">
      <w:pPr>
        <w:pStyle w:val="ListParagraph"/>
        <w:numPr>
          <w:ilvl w:val="0"/>
          <w:numId w:val="29"/>
        </w:numPr>
        <w:spacing w:line="240" w:lineRule="auto"/>
        <w:rPr>
          <w:rFonts w:ascii="Hypatia Sans Pro" w:hAnsi="Hypatia Sans Pro"/>
          <w:sz w:val="26"/>
          <w:szCs w:val="26"/>
        </w:rPr>
      </w:pPr>
      <w:r w:rsidRPr="006D2FDC">
        <w:rPr>
          <w:rFonts w:ascii="Hypatia Sans Pro" w:hAnsi="Hypatia Sans Pro"/>
          <w:sz w:val="26"/>
          <w:szCs w:val="26"/>
        </w:rPr>
        <w:t>Washington experienced steady growth in insurers, plans and products in the Exchange</w:t>
      </w:r>
      <w:r w:rsidR="00EB7C04" w:rsidRPr="006D2FDC">
        <w:rPr>
          <w:rFonts w:ascii="Hypatia Sans Pro" w:hAnsi="Hypatia Sans Pro"/>
          <w:sz w:val="26"/>
          <w:szCs w:val="26"/>
        </w:rPr>
        <w:t xml:space="preserve"> between 2014 and 2016</w:t>
      </w:r>
      <w:r w:rsidR="00995A28" w:rsidRPr="006D2FDC">
        <w:rPr>
          <w:rFonts w:ascii="Hypatia Sans Pro" w:hAnsi="Hypatia Sans Pro"/>
          <w:sz w:val="26"/>
          <w:szCs w:val="26"/>
        </w:rPr>
        <w:t>.</w:t>
      </w:r>
    </w:p>
    <w:p w14:paraId="7EFB4CED" w14:textId="3AC3003E" w:rsidR="00EB7C04" w:rsidRPr="006D2FDC" w:rsidRDefault="00F3352C" w:rsidP="00FE596A">
      <w:pPr>
        <w:pStyle w:val="ListParagraph"/>
        <w:numPr>
          <w:ilvl w:val="0"/>
          <w:numId w:val="29"/>
        </w:numPr>
        <w:spacing w:line="240" w:lineRule="auto"/>
        <w:rPr>
          <w:rFonts w:ascii="Hypatia Sans Pro" w:hAnsi="Hypatia Sans Pro"/>
          <w:sz w:val="26"/>
          <w:szCs w:val="26"/>
        </w:rPr>
      </w:pPr>
      <w:r w:rsidRPr="006D2FDC">
        <w:rPr>
          <w:rFonts w:ascii="Hypatia Sans Pro" w:hAnsi="Hypatia Sans Pro"/>
          <w:sz w:val="26"/>
          <w:szCs w:val="26"/>
        </w:rPr>
        <w:t>The Exchange has increased competition</w:t>
      </w:r>
      <w:r w:rsidR="00FE596A" w:rsidRPr="006D2FDC">
        <w:rPr>
          <w:rFonts w:ascii="Hypatia Sans Pro" w:hAnsi="Hypatia Sans Pro"/>
          <w:sz w:val="26"/>
          <w:szCs w:val="26"/>
        </w:rPr>
        <w:t xml:space="preserve"> to where</w:t>
      </w:r>
      <w:r w:rsidRPr="006D2FDC">
        <w:rPr>
          <w:rFonts w:ascii="Hypatia Sans Pro" w:hAnsi="Hypatia Sans Pro"/>
          <w:sz w:val="26"/>
          <w:szCs w:val="26"/>
        </w:rPr>
        <w:t xml:space="preserve"> </w:t>
      </w:r>
      <w:r w:rsidR="00FE596A" w:rsidRPr="006D2FDC">
        <w:rPr>
          <w:rFonts w:ascii="Hypatia Sans Pro" w:hAnsi="Hypatia Sans Pro"/>
          <w:sz w:val="26"/>
          <w:szCs w:val="26"/>
        </w:rPr>
        <w:t xml:space="preserve">ninety-five percent of counties now have two or more insurers, </w:t>
      </w:r>
      <w:r w:rsidRPr="006D2FDC">
        <w:rPr>
          <w:rFonts w:ascii="Hypatia Sans Pro" w:hAnsi="Hypatia Sans Pro"/>
          <w:sz w:val="26"/>
          <w:szCs w:val="26"/>
        </w:rPr>
        <w:t>with nine in</w:t>
      </w:r>
      <w:r w:rsidR="00FE596A" w:rsidRPr="006D2FDC">
        <w:rPr>
          <w:rFonts w:ascii="Hypatia Sans Pro" w:hAnsi="Hypatia Sans Pro"/>
          <w:sz w:val="26"/>
          <w:szCs w:val="26"/>
        </w:rPr>
        <w:t>surers total across the state in 2017.</w:t>
      </w:r>
    </w:p>
    <w:p w14:paraId="7EB5377F" w14:textId="06016B52" w:rsidR="00995A28" w:rsidRPr="006D2FDC" w:rsidRDefault="00F3352C" w:rsidP="006D2FDC">
      <w:pPr>
        <w:pStyle w:val="ListParagraph"/>
        <w:numPr>
          <w:ilvl w:val="0"/>
          <w:numId w:val="29"/>
        </w:numPr>
        <w:spacing w:line="240" w:lineRule="auto"/>
        <w:rPr>
          <w:rFonts w:ascii="Hypatia Sans Pro" w:hAnsi="Hypatia Sans Pro"/>
          <w:sz w:val="26"/>
          <w:szCs w:val="26"/>
        </w:rPr>
      </w:pPr>
      <w:r w:rsidRPr="006D2FDC">
        <w:rPr>
          <w:rFonts w:ascii="Hypatia Sans Pro" w:hAnsi="Hypatia Sans Pro"/>
          <w:sz w:val="26"/>
          <w:szCs w:val="26"/>
        </w:rPr>
        <w:t>Uncompensated care in hospitals as a percent of total revenue dropped approximately 50 perc</w:t>
      </w:r>
      <w:r w:rsidR="00EB7C04" w:rsidRPr="006D2FDC">
        <w:rPr>
          <w:rFonts w:ascii="Hypatia Sans Pro" w:hAnsi="Hypatia Sans Pro"/>
          <w:sz w:val="26"/>
          <w:szCs w:val="26"/>
        </w:rPr>
        <w:t>ent between 2013 and 201</w:t>
      </w:r>
      <w:r w:rsidR="0016338D" w:rsidRPr="006D2FDC">
        <w:rPr>
          <w:rFonts w:ascii="Hypatia Sans Pro" w:hAnsi="Hypatia Sans Pro"/>
          <w:sz w:val="26"/>
          <w:szCs w:val="26"/>
        </w:rPr>
        <w:t>4</w:t>
      </w:r>
      <w:r w:rsidR="00995A28" w:rsidRPr="006D2FDC">
        <w:rPr>
          <w:rFonts w:ascii="Hypatia Sans Pro" w:hAnsi="Hypatia Sans Pro"/>
          <w:sz w:val="26"/>
          <w:szCs w:val="26"/>
        </w:rPr>
        <w:t>.</w:t>
      </w:r>
      <w:r w:rsidR="006D2FDC">
        <w:rPr>
          <w:rFonts w:ascii="Hypatia Sans Pro" w:hAnsi="Hypatia Sans Pro"/>
          <w:sz w:val="26"/>
          <w:szCs w:val="26"/>
        </w:rPr>
        <w:br/>
      </w:r>
    </w:p>
    <w:p w14:paraId="21F6FC3A" w14:textId="7F7EE8A0" w:rsidR="0016338D" w:rsidRPr="006D2FDC" w:rsidRDefault="006D2FDC" w:rsidP="006D2FDC">
      <w:pPr>
        <w:spacing w:line="240" w:lineRule="auto"/>
        <w:ind w:left="-1080"/>
        <w:jc w:val="right"/>
        <w:rPr>
          <w:rFonts w:asciiTheme="majorHAnsi" w:hAnsiTheme="majorHAnsi"/>
          <w:i/>
          <w:iCs/>
          <w:sz w:val="18"/>
          <w:szCs w:val="18"/>
        </w:rPr>
      </w:pPr>
      <w:r w:rsidRPr="006D2FDC">
        <w:rPr>
          <w:rFonts w:asciiTheme="majorHAnsi" w:hAnsiTheme="majorHAnsi"/>
          <w:i/>
          <w:iCs/>
          <w:sz w:val="18"/>
          <w:szCs w:val="18"/>
        </w:rPr>
        <w:t xml:space="preserve">(Source: Office of Financial Management) </w:t>
      </w:r>
      <w:bookmarkStart w:id="0" w:name="_GoBack"/>
      <w:bookmarkEnd w:id="0"/>
    </w:p>
    <w:sectPr w:rsidR="0016338D" w:rsidRPr="006D2FDC" w:rsidSect="007C1D43">
      <w:type w:val="continuous"/>
      <w:pgSz w:w="12240" w:h="15840"/>
      <w:pgMar w:top="1440" w:right="1440" w:bottom="720" w:left="3024" w:header="288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7EB15" w14:textId="77777777" w:rsidR="00FC2C82" w:rsidRDefault="00FC2C82" w:rsidP="006F24DC">
      <w:pPr>
        <w:spacing w:line="240" w:lineRule="auto"/>
      </w:pPr>
      <w:r>
        <w:separator/>
      </w:r>
    </w:p>
  </w:endnote>
  <w:endnote w:type="continuationSeparator" w:id="0">
    <w:p w14:paraId="6BFF506F" w14:textId="77777777" w:rsidR="00FC2C82" w:rsidRDefault="00FC2C82" w:rsidP="006F2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ypatia Sans Pro">
    <w:panose1 w:val="020B0502020204020303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ypatiaSansPro-Regular">
    <w:charset w:val="00"/>
    <w:family w:val="auto"/>
    <w:pitch w:val="variable"/>
    <w:sig w:usb0="60000287" w:usb1="00000001" w:usb2="00000000" w:usb3="00000000" w:csb0="0000019F" w:csb1="00000000"/>
  </w:font>
  <w:font w:name="HypatiaSans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A7D33" w14:textId="2B37A123" w:rsidR="00BA1EB3" w:rsidRPr="00331672" w:rsidRDefault="00BA1EB3" w:rsidP="00331672">
    <w:pPr>
      <w:pStyle w:val="Footer"/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4E284A2A" wp14:editId="102D75B6">
          <wp:simplePos x="0" y="0"/>
          <wp:positionH relativeFrom="margin">
            <wp:posOffset>-1498600</wp:posOffset>
          </wp:positionH>
          <wp:positionV relativeFrom="paragraph">
            <wp:posOffset>444500</wp:posOffset>
          </wp:positionV>
          <wp:extent cx="6985000" cy="167640"/>
          <wp:effectExtent l="0" t="0" r="0" b="10160"/>
          <wp:wrapThrough wrapText="bothSides">
            <wp:wrapPolygon edited="0">
              <wp:start x="0" y="0"/>
              <wp:lineTo x="0" y="19636"/>
              <wp:lineTo x="21521" y="19636"/>
              <wp:lineTo x="21521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t-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0" cy="16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63616A" wp14:editId="1F3C3D60">
              <wp:simplePos x="0" y="0"/>
              <wp:positionH relativeFrom="column">
                <wp:posOffset>-1244600</wp:posOffset>
              </wp:positionH>
              <wp:positionV relativeFrom="paragraph">
                <wp:posOffset>154940</wp:posOffset>
              </wp:positionV>
              <wp:extent cx="4572000" cy="2286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96FC7F" w14:textId="77777777" w:rsidR="00BA1EB3" w:rsidRPr="00331672" w:rsidRDefault="00BA1EB3" w:rsidP="00331672">
                          <w:pPr>
                            <w:pStyle w:val="address1"/>
                            <w:tabs>
                              <w:tab w:val="left" w:pos="220"/>
                            </w:tabs>
                            <w:rPr>
                              <w:rFonts w:ascii="Calibri" w:hAnsi="Calibri" w:cs="HypatiaSansPro-Bold"/>
                              <w:b/>
                              <w:bCs/>
                              <w:color w:val="EA3500"/>
                            </w:rPr>
                          </w:pPr>
                          <w:r w:rsidRPr="00331672">
                            <w:rPr>
                              <w:rFonts w:ascii="Calibri" w:hAnsi="Calibri"/>
                            </w:rPr>
                            <w:t xml:space="preserve">1020 W. Riverside Suite 101, Spokane WA 99201 </w:t>
                          </w:r>
                          <w:r w:rsidRPr="00331672">
                            <w:rPr>
                              <w:rFonts w:ascii="Calibri" w:hAnsi="Calibri" w:cs="HypatiaSansPro-Bold"/>
                              <w:b/>
                              <w:bCs/>
                            </w:rPr>
                            <w:t xml:space="preserve">• </w:t>
                          </w:r>
                          <w:r w:rsidRPr="00331672">
                            <w:rPr>
                              <w:rFonts w:ascii="Calibri" w:hAnsi="Calibri"/>
                            </w:rPr>
                            <w:t xml:space="preserve">509-321-7500 </w:t>
                          </w:r>
                          <w:r w:rsidRPr="00331672">
                            <w:rPr>
                              <w:rFonts w:ascii="Calibri" w:hAnsi="Calibri" w:cs="HypatiaSansPro-Bold"/>
                              <w:b/>
                              <w:bCs/>
                            </w:rPr>
                            <w:t xml:space="preserve">• </w:t>
                          </w:r>
                          <w:r w:rsidRPr="00331672">
                            <w:rPr>
                              <w:rFonts w:ascii="Calibri" w:hAnsi="Calibri" w:cs="HypatiaSansPro-Bold"/>
                              <w:b/>
                              <w:bCs/>
                              <w:color w:val="EA3500"/>
                            </w:rPr>
                            <w:t>betterhealthtogether.org</w:t>
                          </w:r>
                        </w:p>
                        <w:p w14:paraId="3CF9BF9C" w14:textId="77777777" w:rsidR="00BA1EB3" w:rsidRPr="00331672" w:rsidRDefault="00BA1EB3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63616A"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-98pt;margin-top:12.2pt;width:5in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" filled="f" stroked="f">
              <v:textbox>
                <w:txbxContent>
                  <w:p w14:paraId="7596FC7F" w14:textId="77777777" w:rsidR="00BA1EB3" w:rsidRPr="00331672" w:rsidRDefault="00BA1EB3" w:rsidP="00331672">
                    <w:pPr>
                      <w:pStyle w:val="address1"/>
                      <w:tabs>
                        <w:tab w:val="left" w:pos="220"/>
                      </w:tabs>
                      <w:rPr>
                        <w:rFonts w:ascii="Calibri" w:hAnsi="Calibri" w:cs="HypatiaSansPro-Bold"/>
                        <w:b/>
                        <w:bCs/>
                        <w:color w:val="EA3500"/>
                      </w:rPr>
                    </w:pPr>
                    <w:r w:rsidRPr="00331672">
                      <w:rPr>
                        <w:rFonts w:ascii="Calibri" w:hAnsi="Calibri"/>
                      </w:rPr>
                      <w:t xml:space="preserve">1020 W. Riverside Suite 101, Spokane WA 99201 </w:t>
                    </w:r>
                    <w:r w:rsidRPr="00331672">
                      <w:rPr>
                        <w:rFonts w:ascii="Calibri" w:hAnsi="Calibri" w:cs="HypatiaSansPro-Bold"/>
                        <w:b/>
                        <w:bCs/>
                      </w:rPr>
                      <w:t xml:space="preserve">• </w:t>
                    </w:r>
                    <w:r w:rsidRPr="00331672">
                      <w:rPr>
                        <w:rFonts w:ascii="Calibri" w:hAnsi="Calibri"/>
                      </w:rPr>
                      <w:t xml:space="preserve">509-321-7500 </w:t>
                    </w:r>
                    <w:r w:rsidRPr="00331672">
                      <w:rPr>
                        <w:rFonts w:ascii="Calibri" w:hAnsi="Calibri" w:cs="HypatiaSansPro-Bold"/>
                        <w:b/>
                        <w:bCs/>
                      </w:rPr>
                      <w:t xml:space="preserve">• </w:t>
                    </w:r>
                    <w:r w:rsidRPr="00331672">
                      <w:rPr>
                        <w:rFonts w:ascii="Calibri" w:hAnsi="Calibri" w:cs="HypatiaSansPro-Bold"/>
                        <w:b/>
                        <w:bCs/>
                        <w:color w:val="EA3500"/>
                      </w:rPr>
                      <w:t>betterhealthtogether.org</w:t>
                    </w:r>
                  </w:p>
                  <w:p w14:paraId="3CF9BF9C" w14:textId="77777777" w:rsidR="00BA1EB3" w:rsidRPr="00331672" w:rsidRDefault="00BA1EB3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7244A3C9" wp14:editId="0A6A4A45">
          <wp:simplePos x="0" y="0"/>
          <wp:positionH relativeFrom="column">
            <wp:posOffset>-1473200</wp:posOffset>
          </wp:positionH>
          <wp:positionV relativeFrom="paragraph">
            <wp:posOffset>155575</wp:posOffset>
          </wp:positionV>
          <wp:extent cx="180975" cy="161925"/>
          <wp:effectExtent l="0" t="0" r="0" b="0"/>
          <wp:wrapThrough wrapText="bothSides">
            <wp:wrapPolygon edited="0">
              <wp:start x="0" y="0"/>
              <wp:lineTo x="0" y="16941"/>
              <wp:lineTo x="18189" y="16941"/>
              <wp:lineTo x="18189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t-logo-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1619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1F234" w14:textId="77777777" w:rsidR="00FC2C82" w:rsidRDefault="00FC2C82" w:rsidP="006F24DC">
      <w:pPr>
        <w:spacing w:line="240" w:lineRule="auto"/>
      </w:pPr>
      <w:r>
        <w:separator/>
      </w:r>
    </w:p>
  </w:footnote>
  <w:footnote w:type="continuationSeparator" w:id="0">
    <w:p w14:paraId="777EB93E" w14:textId="77777777" w:rsidR="00FC2C82" w:rsidRDefault="00FC2C82" w:rsidP="006F24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88DD1" w14:textId="5C080CFB" w:rsidR="00BA1EB3" w:rsidRDefault="00432B09" w:rsidP="000653F0">
    <w:pPr>
      <w:pStyle w:val="Header"/>
      <w:jc w:val="right"/>
    </w:pPr>
    <w:r>
      <w:rPr>
        <w:noProof/>
        <w:color w:val="AABABC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863B4E" wp14:editId="627C8F67">
              <wp:simplePos x="0" y="0"/>
              <wp:positionH relativeFrom="column">
                <wp:posOffset>765810</wp:posOffset>
              </wp:positionH>
              <wp:positionV relativeFrom="paragraph">
                <wp:posOffset>-571500</wp:posOffset>
              </wp:positionV>
              <wp:extent cx="4838065" cy="58039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065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4FFB85" w14:textId="77777777" w:rsidR="00432B09" w:rsidRPr="008A221C" w:rsidRDefault="00432B09" w:rsidP="00432B09">
                          <w:pPr>
                            <w:rPr>
                              <w:rFonts w:ascii="Hypatia Sans Pro" w:hAnsi="Hypatia Sans Pro"/>
                              <w:b/>
                              <w:sz w:val="32"/>
                              <w:szCs w:val="32"/>
                            </w:rPr>
                          </w:pPr>
                          <w:r w:rsidRPr="008A221C">
                            <w:rPr>
                              <w:rFonts w:ascii="Hypatia Sans Pro" w:hAnsi="Hypatia Sans Pro"/>
                              <w:b/>
                              <w:sz w:val="32"/>
                              <w:szCs w:val="32"/>
                            </w:rPr>
                            <w:t>Effects of the Affordable Care Act for BHT Region</w:t>
                          </w:r>
                        </w:p>
                        <w:p w14:paraId="2C70ECBE" w14:textId="77777777" w:rsidR="00432B09" w:rsidRPr="008A221C" w:rsidRDefault="00432B09" w:rsidP="00432B09">
                          <w:pPr>
                            <w:rPr>
                              <w:rFonts w:ascii="Hypatia Sans Pro" w:hAnsi="Hypatia Sans Pro"/>
                              <w:i/>
                            </w:rPr>
                          </w:pPr>
                          <w:r w:rsidRPr="008A221C">
                            <w:rPr>
                              <w:rFonts w:ascii="Hypatia Sans Pro" w:hAnsi="Hypatia Sans Pro"/>
                              <w:i/>
                            </w:rPr>
                            <w:t>including: Spokane, Lincoln, Adams, Whitman, Pend Oreille, Stevens and Ferry Counties</w:t>
                          </w:r>
                        </w:p>
                        <w:p w14:paraId="66A41F4D" w14:textId="2F563585" w:rsidR="00BA1EB3" w:rsidRPr="008A221C" w:rsidRDefault="00BA1EB3" w:rsidP="00820574">
                          <w:pPr>
                            <w:pStyle w:val="address1"/>
                            <w:tabs>
                              <w:tab w:val="left" w:pos="220"/>
                            </w:tabs>
                            <w:jc w:val="right"/>
                            <w:rPr>
                              <w:rFonts w:ascii="Hypatia Sans Pro" w:hAnsi="Hypatia Sans Pro"/>
                              <w:color w:val="969694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63B4E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0.3pt;margin-top:-44.95pt;width:380.9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" filled="f" stroked="f">
              <v:textbox>
                <w:txbxContent>
                  <w:p w14:paraId="194FFB85" w14:textId="77777777" w:rsidR="00432B09" w:rsidRPr="008A221C" w:rsidRDefault="00432B09" w:rsidP="00432B09">
                    <w:pPr>
                      <w:rPr>
                        <w:rFonts w:ascii="Hypatia Sans Pro" w:hAnsi="Hypatia Sans Pro"/>
                        <w:b/>
                        <w:sz w:val="32"/>
                        <w:szCs w:val="32"/>
                      </w:rPr>
                    </w:pPr>
                    <w:r w:rsidRPr="008A221C">
                      <w:rPr>
                        <w:rFonts w:ascii="Hypatia Sans Pro" w:hAnsi="Hypatia Sans Pro"/>
                        <w:b/>
                        <w:sz w:val="32"/>
                        <w:szCs w:val="32"/>
                      </w:rPr>
                      <w:t>Effects of the Affordable Care Act for BHT Region</w:t>
                    </w:r>
                  </w:p>
                  <w:p w14:paraId="2C70ECBE" w14:textId="77777777" w:rsidR="00432B09" w:rsidRPr="008A221C" w:rsidRDefault="00432B09" w:rsidP="00432B09">
                    <w:pPr>
                      <w:rPr>
                        <w:rFonts w:ascii="Hypatia Sans Pro" w:hAnsi="Hypatia Sans Pro"/>
                        <w:i/>
                      </w:rPr>
                    </w:pPr>
                    <w:r w:rsidRPr="008A221C">
                      <w:rPr>
                        <w:rFonts w:ascii="Hypatia Sans Pro" w:hAnsi="Hypatia Sans Pro"/>
                        <w:i/>
                      </w:rPr>
                      <w:t>including: Spokane, Lincoln, Adams, Whitman, Pend Oreille, Stevens and Ferry Counties</w:t>
                    </w:r>
                  </w:p>
                  <w:p w14:paraId="66A41F4D" w14:textId="2F563585" w:rsidR="00BA1EB3" w:rsidRPr="008A221C" w:rsidRDefault="00BA1EB3" w:rsidP="00820574">
                    <w:pPr>
                      <w:pStyle w:val="address1"/>
                      <w:tabs>
                        <w:tab w:val="left" w:pos="220"/>
                      </w:tabs>
                      <w:jc w:val="right"/>
                      <w:rPr>
                        <w:rFonts w:ascii="Hypatia Sans Pro" w:hAnsi="Hypatia Sans Pro"/>
                        <w:color w:val="969694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AABABC"/>
        <w:lang w:eastAsia="zh-CN"/>
      </w:rPr>
      <w:drawing>
        <wp:anchor distT="0" distB="0" distL="114300" distR="114300" simplePos="0" relativeHeight="251658240" behindDoc="1" locked="0" layoutInCell="1" allowOverlap="1" wp14:anchorId="65FE00B4" wp14:editId="2AC5E515">
          <wp:simplePos x="0" y="0"/>
          <wp:positionH relativeFrom="margin">
            <wp:posOffset>-1528445</wp:posOffset>
          </wp:positionH>
          <wp:positionV relativeFrom="paragraph">
            <wp:posOffset>-228600</wp:posOffset>
          </wp:positionV>
          <wp:extent cx="7155180" cy="198110"/>
          <wp:effectExtent l="0" t="0" r="0" b="571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T-bor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5180" cy="1981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EB3">
      <w:rPr>
        <w:noProof/>
        <w:color w:val="AABABC"/>
        <w:lang w:eastAsia="zh-CN"/>
      </w:rPr>
      <w:drawing>
        <wp:anchor distT="0" distB="0" distL="114300" distR="114300" simplePos="0" relativeHeight="251659264" behindDoc="0" locked="0" layoutInCell="1" allowOverlap="1" wp14:anchorId="409C3A37" wp14:editId="2B8D64F1">
          <wp:simplePos x="0" y="0"/>
          <wp:positionH relativeFrom="column">
            <wp:posOffset>-1478280</wp:posOffset>
          </wp:positionH>
          <wp:positionV relativeFrom="paragraph">
            <wp:posOffset>-1028700</wp:posOffset>
          </wp:positionV>
          <wp:extent cx="1477010" cy="71628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t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01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94C37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064C6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30AF9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786E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464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40CEF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FAC5C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460C5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F80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6960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4683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313035"/>
    <w:multiLevelType w:val="hybridMultilevel"/>
    <w:tmpl w:val="4014C860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B50591"/>
    <w:multiLevelType w:val="hybridMultilevel"/>
    <w:tmpl w:val="5B0AE856"/>
    <w:lvl w:ilvl="0" w:tplc="474CA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BA73BD7"/>
    <w:multiLevelType w:val="multilevel"/>
    <w:tmpl w:val="47248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B34418"/>
    <w:multiLevelType w:val="hybridMultilevel"/>
    <w:tmpl w:val="0834F41A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EC4E97"/>
    <w:multiLevelType w:val="hybridMultilevel"/>
    <w:tmpl w:val="7DBC3C98"/>
    <w:lvl w:ilvl="0" w:tplc="E4F64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83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E7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4C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A2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4A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A2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2C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A9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0F6C4F0C"/>
    <w:multiLevelType w:val="hybridMultilevel"/>
    <w:tmpl w:val="9312881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7">
    <w:nsid w:val="228455D2"/>
    <w:multiLevelType w:val="hybridMultilevel"/>
    <w:tmpl w:val="5DB686F4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E4249"/>
    <w:multiLevelType w:val="hybridMultilevel"/>
    <w:tmpl w:val="F8A2062C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4461B"/>
    <w:multiLevelType w:val="hybridMultilevel"/>
    <w:tmpl w:val="5F12BBF4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0760C"/>
    <w:multiLevelType w:val="multilevel"/>
    <w:tmpl w:val="0409001D"/>
    <w:styleLink w:val="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2F61C4E"/>
    <w:multiLevelType w:val="hybridMultilevel"/>
    <w:tmpl w:val="47248E9E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0485B"/>
    <w:multiLevelType w:val="hybridMultilevel"/>
    <w:tmpl w:val="36B62FCE"/>
    <w:lvl w:ilvl="0" w:tplc="41A4B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2E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CF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2D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CC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C9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29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B20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8F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7D31057"/>
    <w:multiLevelType w:val="hybridMultilevel"/>
    <w:tmpl w:val="0C08E67A"/>
    <w:lvl w:ilvl="0" w:tplc="474CA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C005F8"/>
    <w:multiLevelType w:val="hybridMultilevel"/>
    <w:tmpl w:val="41E8E36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5">
    <w:nsid w:val="6165261E"/>
    <w:multiLevelType w:val="multilevel"/>
    <w:tmpl w:val="F8A2062C"/>
    <w:styleLink w:val="ListStyl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9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none"/>
      <w:lvlText w:val="%6"/>
      <w:lvlJc w:val="left"/>
      <w:pPr>
        <w:ind w:left="4320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none"/>
      <w:lvlText w:val="%9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26">
    <w:nsid w:val="66D555C7"/>
    <w:multiLevelType w:val="hybridMultilevel"/>
    <w:tmpl w:val="4516D3F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7">
    <w:nsid w:val="69EB2DF7"/>
    <w:multiLevelType w:val="hybridMultilevel"/>
    <w:tmpl w:val="43DCC99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8">
    <w:nsid w:val="7C9E1033"/>
    <w:multiLevelType w:val="hybridMultilevel"/>
    <w:tmpl w:val="332202AA"/>
    <w:lvl w:ilvl="0" w:tplc="B4B62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6DA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0A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89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AE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2B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4E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0C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E7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8"/>
  </w:num>
  <w:num w:numId="2">
    <w:abstractNumId w:val="22"/>
  </w:num>
  <w:num w:numId="3">
    <w:abstractNumId w:val="1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25"/>
  </w:num>
  <w:num w:numId="17">
    <w:abstractNumId w:val="20"/>
  </w:num>
  <w:num w:numId="18">
    <w:abstractNumId w:val="12"/>
  </w:num>
  <w:num w:numId="19">
    <w:abstractNumId w:val="11"/>
  </w:num>
  <w:num w:numId="20">
    <w:abstractNumId w:val="17"/>
  </w:num>
  <w:num w:numId="21">
    <w:abstractNumId w:val="23"/>
  </w:num>
  <w:num w:numId="22">
    <w:abstractNumId w:val="14"/>
  </w:num>
  <w:num w:numId="23">
    <w:abstractNumId w:val="19"/>
  </w:num>
  <w:num w:numId="24">
    <w:abstractNumId w:val="21"/>
  </w:num>
  <w:num w:numId="25">
    <w:abstractNumId w:val="13"/>
  </w:num>
  <w:num w:numId="26">
    <w:abstractNumId w:val="16"/>
  </w:num>
  <w:num w:numId="27">
    <w:abstractNumId w:val="26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29"/>
    <w:rsid w:val="00031FB8"/>
    <w:rsid w:val="000653F0"/>
    <w:rsid w:val="001000B2"/>
    <w:rsid w:val="00124247"/>
    <w:rsid w:val="0016338D"/>
    <w:rsid w:val="00185433"/>
    <w:rsid w:val="001B30C1"/>
    <w:rsid w:val="001F4147"/>
    <w:rsid w:val="002279F7"/>
    <w:rsid w:val="0023497E"/>
    <w:rsid w:val="0024555B"/>
    <w:rsid w:val="00265786"/>
    <w:rsid w:val="002F73E7"/>
    <w:rsid w:val="00321F29"/>
    <w:rsid w:val="0032649E"/>
    <w:rsid w:val="00331672"/>
    <w:rsid w:val="00377B54"/>
    <w:rsid w:val="00432610"/>
    <w:rsid w:val="00432B09"/>
    <w:rsid w:val="004D5258"/>
    <w:rsid w:val="0056408A"/>
    <w:rsid w:val="005F6B09"/>
    <w:rsid w:val="00622FBA"/>
    <w:rsid w:val="00662EEC"/>
    <w:rsid w:val="006C1553"/>
    <w:rsid w:val="006D2FDC"/>
    <w:rsid w:val="006F24DC"/>
    <w:rsid w:val="006F5A5C"/>
    <w:rsid w:val="00793C23"/>
    <w:rsid w:val="007C1D43"/>
    <w:rsid w:val="007E5FE2"/>
    <w:rsid w:val="007F6126"/>
    <w:rsid w:val="00820574"/>
    <w:rsid w:val="008253B1"/>
    <w:rsid w:val="00867EA4"/>
    <w:rsid w:val="008A221C"/>
    <w:rsid w:val="008F67F1"/>
    <w:rsid w:val="00921A8C"/>
    <w:rsid w:val="00943D1B"/>
    <w:rsid w:val="00995A28"/>
    <w:rsid w:val="009D2DEB"/>
    <w:rsid w:val="009F6F0C"/>
    <w:rsid w:val="00A3532F"/>
    <w:rsid w:val="00B17BA6"/>
    <w:rsid w:val="00B30F42"/>
    <w:rsid w:val="00B57081"/>
    <w:rsid w:val="00BA1EB3"/>
    <w:rsid w:val="00C73A9E"/>
    <w:rsid w:val="00CB5BBB"/>
    <w:rsid w:val="00D258AE"/>
    <w:rsid w:val="00DC1F59"/>
    <w:rsid w:val="00DF25F2"/>
    <w:rsid w:val="00E00C97"/>
    <w:rsid w:val="00E52CB8"/>
    <w:rsid w:val="00EB3A15"/>
    <w:rsid w:val="00EB7C04"/>
    <w:rsid w:val="00ED46D0"/>
    <w:rsid w:val="00F12E41"/>
    <w:rsid w:val="00F3352C"/>
    <w:rsid w:val="00F3420A"/>
    <w:rsid w:val="00F504D2"/>
    <w:rsid w:val="00F9202E"/>
    <w:rsid w:val="00FC2C82"/>
    <w:rsid w:val="00FC530A"/>
    <w:rsid w:val="00F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38EC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"/>
    <w:qFormat/>
    <w:rsid w:val="00DC1F59"/>
    <w:pPr>
      <w:spacing w:line="290" w:lineRule="exact"/>
    </w:pPr>
    <w:rPr>
      <w:rFonts w:ascii="Calibri" w:hAnsi="Calibri"/>
      <w:color w:val="5E6164"/>
      <w:sz w:val="20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6408A"/>
    <w:pPr>
      <w:keepNext/>
      <w:keepLines/>
      <w:spacing w:before="480" w:after="120" w:line="240" w:lineRule="auto"/>
      <w:ind w:left="-1440"/>
      <w:outlineLvl w:val="0"/>
    </w:pPr>
    <w:rPr>
      <w:rFonts w:eastAsiaTheme="majorEastAsia" w:cstheme="majorBidi"/>
      <w:bCs/>
      <w:color w:val="969694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30A"/>
    <w:pPr>
      <w:keepNext/>
      <w:keepLines/>
      <w:spacing w:before="200"/>
      <w:outlineLvl w:val="1"/>
    </w:pPr>
    <w:rPr>
      <w:rFonts w:eastAsiaTheme="majorEastAsia" w:cstheme="majorBidi"/>
      <w:b/>
      <w:bCs/>
      <w:color w:val="9696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326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786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Cs w:val="20"/>
    </w:rPr>
  </w:style>
  <w:style w:type="paragraph" w:styleId="NoSpacing">
    <w:name w:val="No Spacing"/>
    <w:uiPriority w:val="1"/>
    <w:qFormat/>
    <w:rsid w:val="00265786"/>
    <w:rPr>
      <w:rFonts w:ascii="Hypatia Sans Pro" w:hAnsi="Hypatia Sans Pro"/>
      <w:color w:val="9DA2A7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6408A"/>
    <w:rPr>
      <w:rFonts w:ascii="Calibri" w:eastAsiaTheme="majorEastAsia" w:hAnsi="Calibri" w:cstheme="majorBidi"/>
      <w:bCs/>
      <w:color w:val="969694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C530A"/>
    <w:rPr>
      <w:rFonts w:ascii="Hypatia Sans Pro" w:eastAsiaTheme="majorEastAsia" w:hAnsi="Hypatia Sans Pro" w:cstheme="majorBidi"/>
      <w:b/>
      <w:bCs/>
      <w:color w:val="969694"/>
      <w:sz w:val="26"/>
      <w:szCs w:val="26"/>
    </w:rPr>
  </w:style>
  <w:style w:type="character" w:styleId="Strong">
    <w:name w:val="Strong"/>
    <w:aliases w:val="Emphasis option 2"/>
    <w:basedOn w:val="DefaultParagraphFont"/>
    <w:uiPriority w:val="22"/>
    <w:qFormat/>
    <w:rsid w:val="00E00C97"/>
    <w:rPr>
      <w:rFonts w:ascii="Calibri" w:hAnsi="Calibri"/>
      <w:b w:val="0"/>
      <w:bCs/>
      <w:color w:val="3798A9"/>
      <w:sz w:val="20"/>
    </w:rPr>
  </w:style>
  <w:style w:type="character" w:styleId="Emphasis">
    <w:name w:val="Emphasis"/>
    <w:aliases w:val="Emphasis option 1"/>
    <w:basedOn w:val="DefaultParagraphFont"/>
    <w:uiPriority w:val="20"/>
    <w:qFormat/>
    <w:rsid w:val="00E00C97"/>
    <w:rPr>
      <w:rFonts w:ascii="Calibri" w:hAnsi="Calibri"/>
      <w:i w:val="0"/>
      <w:iCs/>
      <w:color w:val="C6492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32610"/>
    <w:rPr>
      <w:rFonts w:asciiTheme="majorHAnsi" w:eastAsiaTheme="majorEastAsia" w:hAnsiTheme="majorHAnsi" w:cstheme="majorBidi"/>
      <w:b/>
      <w:bCs/>
      <w:color w:val="4F81BD" w:themeColor="accent1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F24D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4DC"/>
    <w:rPr>
      <w:rFonts w:ascii="Hypatia Sans Pro" w:hAnsi="Hypatia Sans Pro"/>
      <w:color w:val="9DA2A7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F24D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4DC"/>
    <w:rPr>
      <w:rFonts w:ascii="Hypatia Sans Pro" w:hAnsi="Hypatia Sans Pro"/>
      <w:color w:val="9DA2A7"/>
      <w:sz w:val="21"/>
      <w:szCs w:val="21"/>
    </w:rPr>
  </w:style>
  <w:style w:type="numbering" w:customStyle="1" w:styleId="list1">
    <w:name w:val="list1"/>
    <w:basedOn w:val="NoList"/>
    <w:uiPriority w:val="99"/>
    <w:rsid w:val="009D2DEB"/>
    <w:pPr>
      <w:numPr>
        <w:numId w:val="17"/>
      </w:numPr>
    </w:pPr>
  </w:style>
  <w:style w:type="numbering" w:customStyle="1" w:styleId="ListStyle">
    <w:name w:val="List Style"/>
    <w:basedOn w:val="NoList"/>
    <w:uiPriority w:val="99"/>
    <w:rsid w:val="009D2DEB"/>
    <w:pPr>
      <w:numPr>
        <w:numId w:val="1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0C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C1"/>
    <w:rPr>
      <w:rFonts w:ascii="Lucida Grande" w:hAnsi="Lucida Grande" w:cs="Lucida Grande"/>
      <w:color w:val="474A4C"/>
      <w:sz w:val="18"/>
      <w:szCs w:val="18"/>
    </w:rPr>
  </w:style>
  <w:style w:type="paragraph" w:customStyle="1" w:styleId="address1">
    <w:name w:val="address 1"/>
    <w:basedOn w:val="Normal"/>
    <w:uiPriority w:val="99"/>
    <w:rsid w:val="001B30C1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HypatiaSansPro-Regular" w:hAnsi="HypatiaSansPro-Regular" w:cs="HypatiaSansPro-Regular"/>
      <w:color w:val="213542"/>
      <w:sz w:val="14"/>
      <w:szCs w:val="14"/>
    </w:rPr>
  </w:style>
  <w:style w:type="paragraph" w:styleId="ListParagraph">
    <w:name w:val="List Paragraph"/>
    <w:basedOn w:val="Normal"/>
    <w:uiPriority w:val="34"/>
    <w:rsid w:val="000653F0"/>
    <w:pPr>
      <w:ind w:left="720"/>
      <w:contextualSpacing/>
    </w:pPr>
  </w:style>
  <w:style w:type="table" w:styleId="TableGrid">
    <w:name w:val="Table Grid"/>
    <w:basedOn w:val="TableNormal"/>
    <w:uiPriority w:val="39"/>
    <w:rsid w:val="005F6B09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F6126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6126"/>
    <w:rPr>
      <w:rFonts w:ascii="Times New Roman" w:hAnsi="Times New Roman" w:cs="Times New Roman"/>
      <w:color w:val="5E6164"/>
    </w:rPr>
  </w:style>
  <w:style w:type="character" w:styleId="Hyperlink">
    <w:name w:val="Hyperlink"/>
    <w:basedOn w:val="DefaultParagraphFont"/>
    <w:uiPriority w:val="99"/>
    <w:unhideWhenUsed/>
    <w:rsid w:val="001633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FD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D2FDC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2FDC"/>
    <w:rPr>
      <w:rFonts w:ascii="Calibri" w:hAnsi="Calibri"/>
      <w:color w:val="5E6164"/>
    </w:rPr>
  </w:style>
  <w:style w:type="character" w:styleId="FootnoteReference">
    <w:name w:val="footnote reference"/>
    <w:basedOn w:val="DefaultParagraphFont"/>
    <w:uiPriority w:val="99"/>
    <w:unhideWhenUsed/>
    <w:rsid w:val="006D2F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1E8430-8653-514F-A75C-0A5E7613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451</Words>
  <Characters>2746</Characters>
  <Application>Microsoft Macintosh Word</Application>
  <DocSecurity>0</DocSecurity>
  <Lines>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Desautel Hege Communications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Intern</dc:creator>
  <cp:keywords/>
  <dc:description/>
  <cp:lastModifiedBy>Hadley Morrow</cp:lastModifiedBy>
  <cp:revision>4</cp:revision>
  <cp:lastPrinted>2017-01-18T00:45:00Z</cp:lastPrinted>
  <dcterms:created xsi:type="dcterms:W3CDTF">2017-01-25T01:23:00Z</dcterms:created>
  <dcterms:modified xsi:type="dcterms:W3CDTF">2017-01-27T20:26:00Z</dcterms:modified>
</cp:coreProperties>
</file>