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25DA6" w14:textId="2FC47F8F" w:rsidR="000C09B3" w:rsidRDefault="00545B94" w:rsidP="006D00C0">
      <w:r w:rsidRPr="005448CD">
        <w:rPr>
          <w:noProof/>
        </w:rPr>
        <w:drawing>
          <wp:anchor distT="0" distB="0" distL="114300" distR="114300" simplePos="0" relativeHeight="251660288" behindDoc="1" locked="0" layoutInCell="1" allowOverlap="1" wp14:anchorId="083E0460" wp14:editId="43B3E1ED">
            <wp:simplePos x="0" y="0"/>
            <wp:positionH relativeFrom="page">
              <wp:posOffset>719455</wp:posOffset>
            </wp:positionH>
            <wp:positionV relativeFrom="page">
              <wp:posOffset>1041612</wp:posOffset>
            </wp:positionV>
            <wp:extent cx="8652933" cy="270933"/>
            <wp:effectExtent l="0" t="0" r="0" b="0"/>
            <wp:wrapNone/>
            <wp:docPr id="4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2933" cy="2709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2BDC35" w14:textId="34DA24DA" w:rsidR="000C09B3" w:rsidRDefault="000C09B3" w:rsidP="006D00C0"/>
    <w:p w14:paraId="5641306D" w14:textId="77777777" w:rsidR="00545B94" w:rsidRDefault="00545B94" w:rsidP="006D00C0"/>
    <w:p w14:paraId="790F2985" w14:textId="22ACB24E" w:rsidR="00584B28" w:rsidRPr="006D00C0" w:rsidRDefault="00181570" w:rsidP="006D00C0">
      <w:pPr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4DE471" wp14:editId="0B225F77">
                <wp:simplePos x="0" y="0"/>
                <wp:positionH relativeFrom="column">
                  <wp:posOffset>-21590</wp:posOffset>
                </wp:positionH>
                <wp:positionV relativeFrom="paragraph">
                  <wp:posOffset>516255</wp:posOffset>
                </wp:positionV>
                <wp:extent cx="8385810" cy="1828800"/>
                <wp:effectExtent l="50800" t="50800" r="59690" b="571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5810" cy="1828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chemeClr val="accent2"/>
                          </a:solidFill>
                        </a:ln>
                        <a:effectLst>
                          <a:softEdge rad="0"/>
                        </a:effectLst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chemeClr val="bg1"/>
                          </a:contourClr>
                        </a:sp3d>
                      </wps:spPr>
                      <wps:txbx>
                        <w:txbxContent>
                          <w:p w14:paraId="636642CD" w14:textId="77777777" w:rsidR="00FB7252" w:rsidRDefault="00FB7252" w:rsidP="006D00C0">
                            <w:pPr>
                              <w:spacing w:after="0" w:line="276" w:lineRule="auto"/>
                              <w:ind w:left="720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B36DA01" w14:textId="3542EC0B" w:rsidR="006D00C0" w:rsidRPr="006D00C0" w:rsidRDefault="006D00C0" w:rsidP="006D00C0">
                            <w:pPr>
                              <w:spacing w:after="0" w:line="276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00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What?</w:t>
                            </w:r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the work looks like)</w:t>
                            </w:r>
                          </w:p>
                          <w:p w14:paraId="02564ADC" w14:textId="77777777" w:rsidR="006D00C0" w:rsidRPr="006D00C0" w:rsidRDefault="006D00C0" w:rsidP="006D00C0">
                            <w:pPr>
                              <w:spacing w:after="0" w:line="276" w:lineRule="auto"/>
                              <w:ind w:left="72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A5C81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We prioritize decisions and funding that</w:t>
                            </w:r>
                            <w:r w:rsidRPr="006D00C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</w:p>
                          <w:p w14:paraId="43827C04" w14:textId="77777777" w:rsidR="006D00C0" w:rsidRPr="009A5C81" w:rsidRDefault="006D00C0" w:rsidP="006D00C0">
                            <w:pPr>
                              <w:spacing w:after="0" w:line="276" w:lineRule="auto"/>
                              <w:ind w:left="1440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…s</w:t>
                            </w:r>
                            <w:r w:rsidRPr="009A5C8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upport, enhance, and sustain current workforce opportunities and existing promising approaches.</w:t>
                            </w:r>
                          </w:p>
                          <w:p w14:paraId="7FDC71BB" w14:textId="77777777" w:rsidR="006D00C0" w:rsidRPr="006D00C0" w:rsidRDefault="006D00C0" w:rsidP="006D00C0">
                            <w:pPr>
                              <w:spacing w:after="0" w:line="276" w:lineRule="auto"/>
                              <w:ind w:left="144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…s</w:t>
                            </w:r>
                            <w:r w:rsidRPr="009A5C8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upport organizations led by impacted populations and those with lived experience.</w:t>
                            </w:r>
                          </w:p>
                          <w:p w14:paraId="47040054" w14:textId="5860FB9C" w:rsidR="006D00C0" w:rsidRPr="006D00C0" w:rsidRDefault="006D00C0" w:rsidP="006D00C0">
                            <w:pPr>
                              <w:spacing w:after="0" w:line="276" w:lineRule="auto"/>
                              <w:ind w:left="144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…r</w:t>
                            </w:r>
                            <w:r w:rsidRPr="009A5C8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educe power differential</w:t>
                            </w:r>
                            <w:r w:rsidR="00620894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s</w:t>
                            </w:r>
                            <w:r w:rsidRPr="009A5C8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by centering competency over credentials, supporting alternative workforce pathways, and making traditional pathways accessible.</w:t>
                            </w:r>
                          </w:p>
                          <w:p w14:paraId="7F8D77D8" w14:textId="77777777" w:rsidR="006D00C0" w:rsidRPr="006D00C0" w:rsidRDefault="006D00C0" w:rsidP="006D00C0">
                            <w:pPr>
                              <w:spacing w:after="0" w:line="276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13B97CC" w14:textId="77777777" w:rsidR="006D00C0" w:rsidRPr="006D00C0" w:rsidRDefault="006D00C0" w:rsidP="006D00C0">
                            <w:pPr>
                              <w:spacing w:after="0" w:line="276" w:lineRule="auto"/>
                              <w:ind w:left="72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00C0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How?</w:t>
                            </w:r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gramStart"/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what</w:t>
                            </w:r>
                            <w:proofErr w:type="gramEnd"/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the world looks like as a result)</w:t>
                            </w:r>
                          </w:p>
                          <w:p w14:paraId="7C8D9978" w14:textId="49346BC5" w:rsidR="006D00C0" w:rsidRPr="00535DF3" w:rsidRDefault="006D00C0" w:rsidP="00535DF3">
                            <w:pPr>
                              <w:spacing w:after="0" w:line="276" w:lineRule="auto"/>
                              <w:ind w:left="720"/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00C0">
                              <w:rPr>
                                <w:rFonts w:ascii="Calibri" w:eastAsia="Times New Roman" w:hAnsi="Calibri" w:cs="Calibri"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We make decisions that lead to…</w:t>
                            </w:r>
                          </w:p>
                          <w:p w14:paraId="5F457A8A" w14:textId="284059AB" w:rsidR="006D00C0" w:rsidRPr="006D00C0" w:rsidRDefault="006D00C0" w:rsidP="006D00C0">
                            <w:pPr>
                              <w:spacing w:after="0" w:line="276" w:lineRule="auto"/>
                              <w:ind w:left="144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…a</w:t>
                            </w:r>
                            <w:r w:rsidRPr="009A5C8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more diverse workforce in terms of both demographics and roles</w:t>
                            </w:r>
                            <w:r w:rsidR="00152037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  <w:r w:rsidRPr="009A5C8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77AFA58" w14:textId="47BCCD50" w:rsidR="006D00C0" w:rsidRPr="006D00C0" w:rsidRDefault="006D00C0" w:rsidP="006D00C0">
                            <w:pPr>
                              <w:spacing w:after="0" w:line="276" w:lineRule="auto"/>
                              <w:ind w:left="144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…a de-siloed behavioral health system, with alignment and collaboration across organizations and sectors</w:t>
                            </w:r>
                            <w:r w:rsidR="00152037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3E2BF43" w14:textId="311D47E3" w:rsidR="006D00C0" w:rsidRPr="006D00C0" w:rsidRDefault="006D00C0" w:rsidP="006D00C0">
                            <w:pPr>
                              <w:spacing w:after="0" w:line="276" w:lineRule="auto"/>
                              <w:ind w:left="1440"/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…a </w:t>
                            </w:r>
                            <w:r w:rsidRPr="009A5C81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culturally responsive, accessible, and inclusive behavioral health system</w:t>
                            </w:r>
                            <w:r w:rsidR="00152037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CD03724" w14:textId="4B5B906D" w:rsidR="006D00C0" w:rsidRPr="009A5C81" w:rsidRDefault="006D00C0" w:rsidP="006D00C0">
                            <w:pPr>
                              <w:spacing w:after="0" w:line="276" w:lineRule="auto"/>
                              <w:ind w:left="1440"/>
                              <w:rPr>
                                <w:rFonts w:ascii="Segoe UI" w:eastAsia="Times New Roman" w:hAnsi="Segoe UI" w:cs="Segoe U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D00C0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…health equity for our communities and our region</w:t>
                            </w:r>
                            <w:r w:rsidR="00152037">
                              <w:rPr>
                                <w:rFonts w:ascii="Calibri" w:eastAsia="Times New Roman" w:hAnsi="Calibri" w:cs="Calibr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E05D0F" w14:textId="77777777" w:rsidR="006D00C0" w:rsidRPr="00115875" w:rsidRDefault="006D00C0">
                            <w:pPr>
                              <w:rPr>
                                <w:rFonts w:ascii="Segoe UI" w:eastAsia="Times New Roman" w:hAnsi="Segoe UI" w:cs="Segoe UI"/>
                                <w:color w:val="000000"/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54DE4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7pt;margin-top:40.65pt;width:660.3pt;height:2in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iChxugIAAKYFAAAOAAAAZHJzL2Uyb0RvYy54bWysVEtv2zAMvg/YfxB0X51Hu2ZBnSJrl2FA&#13;&#10;1xZrh54VWbYFyKJGKbHbXz9KdvPodhp2sSWS4uPjR15cdo1hW4Veg835+GTEmbISCm2rnP98XH2Y&#13;&#10;ceaDsIUwYFXOn5Xnl4v37y5aN1cTqMEUChk5sX7eupzXIbh5lnlZq0b4E3DKkrIEbESgK1ZZgaIl&#13;&#10;743JJqPRx6wFLByCVN6T9LpX8kXyX5ZKhruy9Cowk3PKLaQvpu86frPFhZhXKFyt5ZCG+IcsGqEt&#13;&#10;Bd25uhZBsA3qP1w1WiJ4KMOJhCaDstRSpRqomvHoTTUPtXAq1ULgeLeDyf8/t/J2++DukYXuM3TU&#13;&#10;wAhI6/zckzDW05XYxD9lykhPED7vYFNdYJKEs+nsbDYmlSTdeDaZzUYJ2Gz/3KEPXxU0LB5yjtSX&#13;&#10;BJfY3vhAIcn01SRG82B0sdLGpEvkgroyyLaCuiikVDZM0nOzab5D0cuJDX1YMScxdb0XUy67bBKr&#13;&#10;oqcU8CiIsazN+ZTKGCXPR8rdu+MM+rwPLKkKY2PKKjGPSuuLKcOXolIMRTFgR4bHJlSSmhbRWopG&#13;&#10;oRhwAgw1DOxcIdjQ89Xoqg4/dMVQ05SFGpW6D5wVmoidTMi/37v0blowSa9hg0/Uocn5UOQgS4DE&#13;&#10;F0c4r6tEBnJ1aBY9kzsCcM+SeArduhuos4bimRiF0A+bd3Klqes3wod7gTRdxBTaGOGOPqUBgh2G&#13;&#10;E2c14Mvf5NGeSE9azlqa1pz7XxuBijPzzdI4fBqfnsbxTpfTs/MJXfBQsz7U2E1zBUSlMe0mJ9Mx&#13;&#10;2gfzeiwRmidaLMsYlVTCSoodwR2OV6HfIbSYpFoukxENtBPhxj44GV3HZkZOP3ZPAt3Q0EAzcwuv&#13;&#10;cy3mb/jf2ybSuOUmwEqn4YgA96gOuNMySBQeqBG3zeE9We3X6+I3AAAA//8DAFBLAwQUAAYACAAA&#13;&#10;ACEAEueiIuMAAAAPAQAADwAAAGRycy9kb3ducmV2LnhtbExPy27CMBC8V+o/WFupN3AeFdAQB1W0&#13;&#10;VXtCLeUDnHiJU+K1FRsIf19zopeVRvPYmXI1mp6dcPCdJQHpNAGG1FjVUStg9/M+WQDzQZKSvSUU&#13;&#10;cEEPq+r+rpSFsmf6xtM2tCyGkC+kAB2CKzj3jUYj/dQ6pMjt7WBkiHBouRrkOYabnmdJMuNGdhQ/&#13;&#10;aOlwrbE5bI9GwNfbZu52H1mzdll9Oew/EfXvRojHh/F1Gc/LEljAMdwccN0Q+0MVi9X2SMqzXsAk&#13;&#10;f4pKAYs0B3bl83SeAasF5LPnHHhV8v87qj8AAAD//wMAUEsBAi0AFAAGAAgAAAAhALaDOJL+AAAA&#13;&#10;4QEAABMAAAAAAAAAAAAAAAAAAAAAAFtDb250ZW50X1R5cGVzXS54bWxQSwECLQAUAAYACAAAACEA&#13;&#10;OP0h/9YAAACUAQAACwAAAAAAAAAAAAAAAAAvAQAAX3JlbHMvLnJlbHNQSwECLQAUAAYACAAAACEA&#13;&#10;p4gocboCAACmBQAADgAAAAAAAAAAAAAAAAAuAgAAZHJzL2Uyb0RvYy54bWxQSwECLQAUAAYACAAA&#13;&#10;ACEAEueiIuMAAAAPAQAADwAAAAAAAAAAAAAAAAAUBQAAZHJzL2Rvd25yZXYueG1sUEsFBgAAAAAE&#13;&#10;AAQA8wAAACQGAAAAAA==&#13;&#10;" fillcolor="#fbe4d5 [661]" strokecolor="#ed7d31 [3205]" strokeweight="3pt">
                <v:textbox style="mso-fit-shape-to-text:t">
                  <w:txbxContent>
                    <w:p w14:paraId="636642CD" w14:textId="77777777" w:rsidR="00FB7252" w:rsidRDefault="00FB7252" w:rsidP="006D00C0">
                      <w:pPr>
                        <w:spacing w:after="0" w:line="276" w:lineRule="auto"/>
                        <w:ind w:left="720"/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</w:p>
                    <w:p w14:paraId="7B36DA01" w14:textId="3542EC0B" w:rsidR="006D00C0" w:rsidRPr="006D00C0" w:rsidRDefault="006D00C0" w:rsidP="006D00C0">
                      <w:pPr>
                        <w:spacing w:after="0" w:line="276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6D00C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What?</w:t>
                      </w:r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what</w:t>
                      </w:r>
                      <w:proofErr w:type="gramEnd"/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 the work looks like)</w:t>
                      </w:r>
                    </w:p>
                    <w:p w14:paraId="02564ADC" w14:textId="77777777" w:rsidR="006D00C0" w:rsidRPr="006D00C0" w:rsidRDefault="006D00C0" w:rsidP="006D00C0">
                      <w:pPr>
                        <w:spacing w:after="0" w:line="276" w:lineRule="auto"/>
                        <w:ind w:left="72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9A5C81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We prioritize decisions and funding that</w:t>
                      </w:r>
                      <w:r w:rsidRPr="006D00C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…</w:t>
                      </w:r>
                    </w:p>
                    <w:p w14:paraId="43827C04" w14:textId="77777777" w:rsidR="006D00C0" w:rsidRPr="009A5C81" w:rsidRDefault="006D00C0" w:rsidP="006D00C0">
                      <w:pPr>
                        <w:spacing w:after="0" w:line="276" w:lineRule="auto"/>
                        <w:ind w:left="1440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</w:pPr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…s</w:t>
                      </w:r>
                      <w:r w:rsidRPr="009A5C8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upport, enhance, and sustain current workforce opportunities and existing promising approaches.</w:t>
                      </w:r>
                    </w:p>
                    <w:p w14:paraId="7FDC71BB" w14:textId="77777777" w:rsidR="006D00C0" w:rsidRPr="006D00C0" w:rsidRDefault="006D00C0" w:rsidP="006D00C0">
                      <w:pPr>
                        <w:spacing w:after="0" w:line="276" w:lineRule="auto"/>
                        <w:ind w:left="1440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…s</w:t>
                      </w:r>
                      <w:r w:rsidRPr="009A5C8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upport organizations led by impacted populations and those with lived experience.</w:t>
                      </w:r>
                    </w:p>
                    <w:p w14:paraId="47040054" w14:textId="5860FB9C" w:rsidR="006D00C0" w:rsidRPr="006D00C0" w:rsidRDefault="006D00C0" w:rsidP="006D00C0">
                      <w:pPr>
                        <w:spacing w:after="0" w:line="276" w:lineRule="auto"/>
                        <w:ind w:left="1440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…r</w:t>
                      </w:r>
                      <w:r w:rsidRPr="009A5C8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educe power differential</w:t>
                      </w:r>
                      <w:r w:rsidR="00620894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s</w:t>
                      </w:r>
                      <w:r w:rsidRPr="009A5C8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 by centering competency over credentials, supporting alternative workforce pathways, and making traditional pathways accessible.</w:t>
                      </w:r>
                    </w:p>
                    <w:p w14:paraId="7F8D77D8" w14:textId="77777777" w:rsidR="006D00C0" w:rsidRPr="006D00C0" w:rsidRDefault="006D00C0" w:rsidP="006D00C0">
                      <w:pPr>
                        <w:spacing w:after="0" w:line="276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713B97CC" w14:textId="77777777" w:rsidR="006D00C0" w:rsidRPr="006D00C0" w:rsidRDefault="006D00C0" w:rsidP="006D00C0">
                      <w:pPr>
                        <w:spacing w:after="0" w:line="276" w:lineRule="auto"/>
                        <w:ind w:left="720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6D00C0">
                        <w:rPr>
                          <w:rFonts w:ascii="Calibri" w:eastAsia="Times New Roman" w:hAnsi="Calibri" w:cs="Calibri"/>
                          <w:b/>
                          <w:bCs/>
                          <w:color w:val="000000"/>
                          <w:sz w:val="24"/>
                          <w:szCs w:val="24"/>
                        </w:rPr>
                        <w:t>How?</w:t>
                      </w:r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 (</w:t>
                      </w:r>
                      <w:proofErr w:type="gramStart"/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what</w:t>
                      </w:r>
                      <w:proofErr w:type="gramEnd"/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 the world looks like as a result)</w:t>
                      </w:r>
                    </w:p>
                    <w:p w14:paraId="7C8D9978" w14:textId="49346BC5" w:rsidR="006D00C0" w:rsidRPr="00535DF3" w:rsidRDefault="006D00C0" w:rsidP="00535DF3">
                      <w:pPr>
                        <w:spacing w:after="0" w:line="276" w:lineRule="auto"/>
                        <w:ind w:left="720"/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  <w:r w:rsidRPr="006D00C0">
                        <w:rPr>
                          <w:rFonts w:ascii="Calibri" w:eastAsia="Times New Roman" w:hAnsi="Calibri" w:cs="Calibri"/>
                          <w:i/>
                          <w:iCs/>
                          <w:color w:val="000000"/>
                          <w:sz w:val="24"/>
                          <w:szCs w:val="24"/>
                        </w:rPr>
                        <w:t>We make decisions that lead to…</w:t>
                      </w:r>
                    </w:p>
                    <w:p w14:paraId="5F457A8A" w14:textId="284059AB" w:rsidR="006D00C0" w:rsidRPr="006D00C0" w:rsidRDefault="006D00C0" w:rsidP="006D00C0">
                      <w:pPr>
                        <w:spacing w:after="0" w:line="276" w:lineRule="auto"/>
                        <w:ind w:left="1440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…a</w:t>
                      </w:r>
                      <w:r w:rsidRPr="009A5C8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 more diverse workforce in terms of both demographics and roles</w:t>
                      </w:r>
                      <w:r w:rsidR="00152037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  <w:r w:rsidRPr="009A5C8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77AFA58" w14:textId="47BCCD50" w:rsidR="006D00C0" w:rsidRPr="006D00C0" w:rsidRDefault="006D00C0" w:rsidP="006D00C0">
                      <w:pPr>
                        <w:spacing w:after="0" w:line="276" w:lineRule="auto"/>
                        <w:ind w:left="1440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…a de-siloed behavioral health system, with alignment and collaboration across organizations and sectors</w:t>
                      </w:r>
                      <w:r w:rsidR="00152037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13E2BF43" w14:textId="311D47E3" w:rsidR="006D00C0" w:rsidRPr="006D00C0" w:rsidRDefault="006D00C0" w:rsidP="006D00C0">
                      <w:pPr>
                        <w:spacing w:after="0" w:line="276" w:lineRule="auto"/>
                        <w:ind w:left="1440"/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</w:pPr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 xml:space="preserve">…a </w:t>
                      </w:r>
                      <w:r w:rsidRPr="009A5C81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culturally responsive, accessible, and inclusive behavioral health system</w:t>
                      </w:r>
                      <w:r w:rsidR="00152037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7CD03724" w14:textId="4B5B906D" w:rsidR="006D00C0" w:rsidRPr="009A5C81" w:rsidRDefault="006D00C0" w:rsidP="006D00C0">
                      <w:pPr>
                        <w:spacing w:after="0" w:line="276" w:lineRule="auto"/>
                        <w:ind w:left="1440"/>
                        <w:rPr>
                          <w:rFonts w:ascii="Segoe UI" w:eastAsia="Times New Roman" w:hAnsi="Segoe UI" w:cs="Segoe UI"/>
                          <w:color w:val="000000"/>
                          <w:sz w:val="24"/>
                          <w:szCs w:val="24"/>
                        </w:rPr>
                      </w:pPr>
                      <w:r w:rsidRPr="006D00C0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…health equity for our communities and our region</w:t>
                      </w:r>
                      <w:r w:rsidR="00152037">
                        <w:rPr>
                          <w:rFonts w:ascii="Calibri" w:eastAsia="Times New Roman" w:hAnsi="Calibri" w:cs="Calibr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5AE05D0F" w14:textId="77777777" w:rsidR="006D00C0" w:rsidRPr="00115875" w:rsidRDefault="006D00C0">
                      <w:pPr>
                        <w:rPr>
                          <w:rFonts w:ascii="Segoe UI" w:eastAsia="Times New Roman" w:hAnsi="Segoe UI" w:cs="Segoe UI"/>
                          <w:color w:val="000000"/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12" w:history="1">
        <w:r w:rsidR="00CD054B" w:rsidRPr="00584B28">
          <w:rPr>
            <w:rStyle w:val="Hyperlink"/>
            <w:b/>
            <w:bCs/>
            <w:sz w:val="32"/>
            <w:szCs w:val="32"/>
          </w:rPr>
          <w:t>Guiding Principles</w:t>
        </w:r>
      </w:hyperlink>
    </w:p>
    <w:p w14:paraId="3C592D65" w14:textId="171B1F9C" w:rsidR="00584B28" w:rsidRPr="006D00C0" w:rsidRDefault="00584B28" w:rsidP="00446857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</w:rPr>
      </w:pPr>
    </w:p>
    <w:p w14:paraId="3AF10E77" w14:textId="399C0E78" w:rsidR="311D0CF3" w:rsidRPr="00CD054B" w:rsidRDefault="311D0CF3" w:rsidP="00446857"/>
    <w:p w14:paraId="724AA831" w14:textId="77777777" w:rsidR="002C5F11" w:rsidRDefault="002C5F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78427CBE" w14:textId="77777777" w:rsidR="00687CB5" w:rsidRDefault="00687CB5" w:rsidP="00281D2B">
      <w:pPr>
        <w:rPr>
          <w:b/>
          <w:bCs/>
          <w:sz w:val="32"/>
          <w:szCs w:val="32"/>
        </w:rPr>
      </w:pPr>
    </w:p>
    <w:p w14:paraId="1BDFA1B7" w14:textId="64FA7AB6" w:rsidR="0388B655" w:rsidRDefault="0388B655" w:rsidP="00281D2B">
      <w:pPr>
        <w:rPr>
          <w:b/>
          <w:bCs/>
          <w:sz w:val="32"/>
          <w:szCs w:val="32"/>
        </w:rPr>
      </w:pPr>
      <w:r w:rsidRPr="7BD404B7">
        <w:rPr>
          <w:b/>
          <w:bCs/>
          <w:sz w:val="32"/>
          <w:szCs w:val="32"/>
        </w:rPr>
        <w:t>Workforce Retention &amp; Expansion: $540,000</w:t>
      </w:r>
    </w:p>
    <w:tbl>
      <w:tblPr>
        <w:tblStyle w:val="TableGrid"/>
        <w:tblW w:w="12955" w:type="dxa"/>
        <w:tblLayout w:type="fixed"/>
        <w:tblLook w:val="06A0" w:firstRow="1" w:lastRow="0" w:firstColumn="1" w:lastColumn="0" w:noHBand="1" w:noVBand="1"/>
      </w:tblPr>
      <w:tblGrid>
        <w:gridCol w:w="1975"/>
        <w:gridCol w:w="2004"/>
        <w:gridCol w:w="5556"/>
        <w:gridCol w:w="1710"/>
        <w:gridCol w:w="1710"/>
      </w:tblGrid>
      <w:tr w:rsidR="311D0CF3" w:rsidRPr="00281D2B" w14:paraId="141276F9" w14:textId="77777777" w:rsidTr="00687CB5">
        <w:tc>
          <w:tcPr>
            <w:tcW w:w="1975" w:type="dxa"/>
            <w:shd w:val="clear" w:color="auto" w:fill="F4B083" w:themeFill="accent2" w:themeFillTint="99"/>
          </w:tcPr>
          <w:p w14:paraId="4A282E37" w14:textId="4509D0FA" w:rsidR="790A19A4" w:rsidRPr="00281D2B" w:rsidRDefault="790A19A4" w:rsidP="311D0CF3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Activity name</w:t>
            </w:r>
          </w:p>
        </w:tc>
        <w:tc>
          <w:tcPr>
            <w:tcW w:w="2004" w:type="dxa"/>
            <w:shd w:val="clear" w:color="auto" w:fill="F4B083" w:themeFill="accent2" w:themeFillTint="99"/>
          </w:tcPr>
          <w:p w14:paraId="45F963A3" w14:textId="770FFE67" w:rsidR="790A19A4" w:rsidRPr="00281D2B" w:rsidRDefault="790A19A4" w:rsidP="311D0CF3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Approx. cost range</w:t>
            </w:r>
          </w:p>
        </w:tc>
        <w:tc>
          <w:tcPr>
            <w:tcW w:w="5556" w:type="dxa"/>
            <w:shd w:val="clear" w:color="auto" w:fill="F4B083" w:themeFill="accent2" w:themeFillTint="99"/>
          </w:tcPr>
          <w:p w14:paraId="3EBD9E44" w14:textId="0027E8AE" w:rsidR="790A19A4" w:rsidRPr="00281D2B" w:rsidRDefault="790A19A4" w:rsidP="311D0CF3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Short description/other info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14:paraId="106A0929" w14:textId="69D69FA3" w:rsidR="790A19A4" w:rsidRPr="00281D2B" w:rsidRDefault="790A19A4" w:rsidP="311D0CF3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 xml:space="preserve">Activity priority level </w:t>
            </w:r>
            <w:r w:rsidR="00CC5C19">
              <w:rPr>
                <w:b/>
                <w:bCs/>
              </w:rPr>
              <w:br/>
            </w:r>
            <w:r w:rsidRPr="00CC5C19">
              <w:t>(high, med, low)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14:paraId="59636C6A" w14:textId="5D13744A" w:rsidR="790A19A4" w:rsidRPr="00281D2B" w:rsidRDefault="790A19A4" w:rsidP="311D0CF3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Funding level</w:t>
            </w:r>
          </w:p>
          <w:p w14:paraId="4A265C51" w14:textId="2F3ECED1" w:rsidR="790A19A4" w:rsidRPr="00CC5C19" w:rsidRDefault="790A19A4" w:rsidP="311D0CF3">
            <w:r w:rsidRPr="00CC5C19">
              <w:t>(</w:t>
            </w:r>
            <w:proofErr w:type="gramStart"/>
            <w:r w:rsidRPr="00CC5C19">
              <w:t>none</w:t>
            </w:r>
            <w:proofErr w:type="gramEnd"/>
            <w:r w:rsidRPr="00CC5C19">
              <w:t>, low, med, high, full)</w:t>
            </w:r>
          </w:p>
        </w:tc>
      </w:tr>
      <w:tr w:rsidR="7BD404B7" w14:paraId="317721EB" w14:textId="77777777" w:rsidTr="00687CB5">
        <w:tc>
          <w:tcPr>
            <w:tcW w:w="1975" w:type="dxa"/>
            <w:shd w:val="clear" w:color="auto" w:fill="auto"/>
          </w:tcPr>
          <w:p w14:paraId="699B6059" w14:textId="1E1939C3" w:rsidR="0897B6EA" w:rsidRDefault="0897B6EA" w:rsidP="7BD404B7">
            <w:r>
              <w:t xml:space="preserve">BH Supervision support continuation </w:t>
            </w:r>
          </w:p>
        </w:tc>
        <w:tc>
          <w:tcPr>
            <w:tcW w:w="2004" w:type="dxa"/>
            <w:shd w:val="clear" w:color="auto" w:fill="auto"/>
          </w:tcPr>
          <w:p w14:paraId="56C54E9E" w14:textId="43BAED93" w:rsidR="50356F73" w:rsidRDefault="50356F73" w:rsidP="7BD404B7">
            <w:r>
              <w:t>$100,000 to $150,000</w:t>
            </w:r>
          </w:p>
        </w:tc>
        <w:tc>
          <w:tcPr>
            <w:tcW w:w="5556" w:type="dxa"/>
            <w:shd w:val="clear" w:color="auto" w:fill="auto"/>
          </w:tcPr>
          <w:p w14:paraId="3A2F93D7" w14:textId="00E3B82D" w:rsidR="002B50A9" w:rsidRDefault="00A904BB" w:rsidP="7BD404B7">
            <w:r>
              <w:t>S</w:t>
            </w:r>
            <w:r w:rsidR="00CC6F4D" w:rsidRPr="00CC6F4D">
              <w:t>upport provider organizations with master’s level behavioral health (inclusive of SUD) staff with supervision.</w:t>
            </w:r>
            <w:r w:rsidR="00CC6F4D">
              <w:t xml:space="preserve"> </w:t>
            </w:r>
            <w:hyperlink r:id="rId13" w:history="1">
              <w:r w:rsidR="00E50C30" w:rsidRPr="00E50C30">
                <w:rPr>
                  <w:rStyle w:val="Hyperlink"/>
                </w:rPr>
                <w:t>Description of 2021 funding</w:t>
              </w:r>
            </w:hyperlink>
            <w:r w:rsidR="009A500A">
              <w:t>.</w:t>
            </w:r>
            <w:r w:rsidR="00535DF3">
              <w:t xml:space="preserve"> </w:t>
            </w:r>
          </w:p>
          <w:p w14:paraId="6E59142B" w14:textId="08AB9995" w:rsidR="7BD404B7" w:rsidRDefault="5C270641" w:rsidP="7BD404B7">
            <w:r>
              <w:t>10-15 partners</w:t>
            </w:r>
            <w:r w:rsidR="00E50C30">
              <w:t xml:space="preserve"> at $10,000 each.</w:t>
            </w:r>
          </w:p>
        </w:tc>
        <w:tc>
          <w:tcPr>
            <w:tcW w:w="1710" w:type="dxa"/>
            <w:shd w:val="clear" w:color="auto" w:fill="auto"/>
          </w:tcPr>
          <w:p w14:paraId="133B8998" w14:textId="09329EE9" w:rsidR="311D0CF3" w:rsidRDefault="311D0CF3" w:rsidP="311D0CF3"/>
        </w:tc>
        <w:tc>
          <w:tcPr>
            <w:tcW w:w="1710" w:type="dxa"/>
            <w:shd w:val="clear" w:color="auto" w:fill="auto"/>
          </w:tcPr>
          <w:p w14:paraId="344E2DBB" w14:textId="1879CDD3" w:rsidR="311D0CF3" w:rsidRDefault="311D0CF3" w:rsidP="311D0CF3"/>
        </w:tc>
      </w:tr>
      <w:tr w:rsidR="7BD404B7" w14:paraId="16DA933A" w14:textId="77777777" w:rsidTr="00687CB5">
        <w:tc>
          <w:tcPr>
            <w:tcW w:w="1975" w:type="dxa"/>
            <w:shd w:val="clear" w:color="auto" w:fill="FBE4D5" w:themeFill="accent2" w:themeFillTint="33"/>
          </w:tcPr>
          <w:p w14:paraId="4712ED3B" w14:textId="1BB82F57" w:rsidR="0897B6EA" w:rsidRDefault="0897B6EA" w:rsidP="7BD404B7">
            <w:r>
              <w:t>Loan Forgiveness Pilot</w:t>
            </w:r>
          </w:p>
        </w:tc>
        <w:tc>
          <w:tcPr>
            <w:tcW w:w="2004" w:type="dxa"/>
            <w:shd w:val="clear" w:color="auto" w:fill="FBE4D5" w:themeFill="accent2" w:themeFillTint="33"/>
          </w:tcPr>
          <w:p w14:paraId="3D43E715" w14:textId="43468DE9" w:rsidR="18F0EC6D" w:rsidRDefault="18F0EC6D" w:rsidP="7BD404B7">
            <w:r>
              <w:t>$100,000 to $250,000</w:t>
            </w:r>
          </w:p>
          <w:p w14:paraId="1E60D06F" w14:textId="25AAE76C" w:rsidR="7BD404B7" w:rsidRDefault="7BD404B7" w:rsidP="7BD404B7"/>
        </w:tc>
        <w:tc>
          <w:tcPr>
            <w:tcW w:w="5556" w:type="dxa"/>
            <w:shd w:val="clear" w:color="auto" w:fill="FBE4D5" w:themeFill="accent2" w:themeFillTint="33"/>
          </w:tcPr>
          <w:p w14:paraId="3BF829C5" w14:textId="3C090EAA" w:rsidR="7BD404B7" w:rsidRDefault="00EF696B" w:rsidP="7BD404B7">
            <w:r>
              <w:t xml:space="preserve">Loan forgiveness for those not eligible for other programs. Funds could go to organizations to </w:t>
            </w:r>
            <w:r w:rsidR="004337BF">
              <w:t>disburse (monthly, lump sum) with retention stipulations, directly to providers, or other disbursement design.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178D6FA4" w14:textId="33524ED7" w:rsidR="311D0CF3" w:rsidRDefault="311D0CF3" w:rsidP="311D0CF3"/>
        </w:tc>
        <w:tc>
          <w:tcPr>
            <w:tcW w:w="1710" w:type="dxa"/>
            <w:shd w:val="clear" w:color="auto" w:fill="FBE4D5" w:themeFill="accent2" w:themeFillTint="33"/>
          </w:tcPr>
          <w:p w14:paraId="29E2FAB3" w14:textId="00187883" w:rsidR="311D0CF3" w:rsidRDefault="311D0CF3" w:rsidP="311D0CF3"/>
        </w:tc>
      </w:tr>
      <w:tr w:rsidR="7BD404B7" w14:paraId="0352774A" w14:textId="77777777" w:rsidTr="00687CB5">
        <w:tc>
          <w:tcPr>
            <w:tcW w:w="1975" w:type="dxa"/>
            <w:shd w:val="clear" w:color="auto" w:fill="auto"/>
          </w:tcPr>
          <w:p w14:paraId="4663D1C8" w14:textId="01F0883F" w:rsidR="0897B6EA" w:rsidRDefault="0897B6EA" w:rsidP="7BD404B7">
            <w:r>
              <w:t xml:space="preserve">Org stipends for taking on practicum/intern students </w:t>
            </w:r>
          </w:p>
        </w:tc>
        <w:tc>
          <w:tcPr>
            <w:tcW w:w="2004" w:type="dxa"/>
            <w:shd w:val="clear" w:color="auto" w:fill="auto"/>
          </w:tcPr>
          <w:p w14:paraId="1DCB09C1" w14:textId="003FD040" w:rsidR="480DEBC6" w:rsidRDefault="480DEBC6" w:rsidP="7BD404B7">
            <w:r>
              <w:t>$</w:t>
            </w:r>
            <w:r w:rsidR="7DB029A2">
              <w:t>4</w:t>
            </w:r>
            <w:r>
              <w:t>0</w:t>
            </w:r>
            <w:r w:rsidR="7DB029A2">
              <w:t>,000 to $80,000</w:t>
            </w:r>
          </w:p>
        </w:tc>
        <w:tc>
          <w:tcPr>
            <w:tcW w:w="5556" w:type="dxa"/>
            <w:shd w:val="clear" w:color="auto" w:fill="auto"/>
          </w:tcPr>
          <w:p w14:paraId="2741216A" w14:textId="3931A48C" w:rsidR="002B50A9" w:rsidRDefault="00B3170B" w:rsidP="7BD404B7">
            <w:r>
              <w:t xml:space="preserve">Support the labor cost of organizations taking on practicum/intern students. </w:t>
            </w:r>
            <w:r w:rsidR="00DC5059">
              <w:t xml:space="preserve">Potentially in partnership with AHEC. </w:t>
            </w:r>
          </w:p>
          <w:p w14:paraId="7E76944B" w14:textId="1C69F0A1" w:rsidR="7BD404B7" w:rsidRDefault="5644A1FF" w:rsidP="7BD404B7">
            <w:r>
              <w:t>$4K/student, 10 or 20 students</w:t>
            </w:r>
            <w:r w:rsidR="00C10094">
              <w:t>.</w:t>
            </w:r>
          </w:p>
        </w:tc>
        <w:tc>
          <w:tcPr>
            <w:tcW w:w="1710" w:type="dxa"/>
            <w:shd w:val="clear" w:color="auto" w:fill="auto"/>
          </w:tcPr>
          <w:p w14:paraId="763D459B" w14:textId="276EB7B4" w:rsidR="311D0CF3" w:rsidRDefault="311D0CF3" w:rsidP="311D0CF3"/>
        </w:tc>
        <w:tc>
          <w:tcPr>
            <w:tcW w:w="1710" w:type="dxa"/>
            <w:shd w:val="clear" w:color="auto" w:fill="auto"/>
          </w:tcPr>
          <w:p w14:paraId="6D6E47BA" w14:textId="4C5F1423" w:rsidR="311D0CF3" w:rsidRDefault="311D0CF3" w:rsidP="311D0CF3"/>
        </w:tc>
      </w:tr>
      <w:tr w:rsidR="002818CE" w14:paraId="7E0752D7" w14:textId="77777777" w:rsidTr="00687CB5">
        <w:tc>
          <w:tcPr>
            <w:tcW w:w="1975" w:type="dxa"/>
            <w:shd w:val="clear" w:color="auto" w:fill="FBE4D5" w:themeFill="accent2" w:themeFillTint="33"/>
          </w:tcPr>
          <w:p w14:paraId="081B22D8" w14:textId="04842FB0" w:rsidR="0897B6EA" w:rsidRDefault="0897B6EA" w:rsidP="7BD404B7">
            <w:r>
              <w:t xml:space="preserve">Scholarship model for existing staff higher ed </w:t>
            </w:r>
          </w:p>
        </w:tc>
        <w:tc>
          <w:tcPr>
            <w:tcW w:w="2004" w:type="dxa"/>
            <w:shd w:val="clear" w:color="auto" w:fill="FBE4D5" w:themeFill="accent2" w:themeFillTint="33"/>
          </w:tcPr>
          <w:p w14:paraId="08458CFD" w14:textId="3E00D849" w:rsidR="0002986A" w:rsidRDefault="0002986A" w:rsidP="7BD404B7">
            <w:r>
              <w:t>$100,000 to $</w:t>
            </w:r>
            <w:r w:rsidR="54EADC8C">
              <w:t>2</w:t>
            </w:r>
            <w:r>
              <w:t>50,000</w:t>
            </w:r>
          </w:p>
        </w:tc>
        <w:tc>
          <w:tcPr>
            <w:tcW w:w="5556" w:type="dxa"/>
            <w:shd w:val="clear" w:color="auto" w:fill="FBE4D5" w:themeFill="accent2" w:themeFillTint="33"/>
          </w:tcPr>
          <w:p w14:paraId="244B8C5E" w14:textId="5D33762C" w:rsidR="002B50A9" w:rsidRDefault="000120C2" w:rsidP="7BD404B7">
            <w:r>
              <w:t>Current employees of organizations who are interested in pursuing a higher</w:t>
            </w:r>
            <w:r w:rsidR="008C13DD">
              <w:t>-</w:t>
            </w:r>
            <w:r>
              <w:t>level degree</w:t>
            </w:r>
            <w:r w:rsidR="00736DDF">
              <w:t xml:space="preserve">, for example, a bachelor’s level staff pursuing </w:t>
            </w:r>
            <w:proofErr w:type="gramStart"/>
            <w:r w:rsidR="00736DDF">
              <w:t>master’s</w:t>
            </w:r>
            <w:proofErr w:type="gramEnd"/>
            <w:r w:rsidR="00736DDF">
              <w:t xml:space="preserve">. </w:t>
            </w:r>
          </w:p>
          <w:p w14:paraId="6364F1C6" w14:textId="4E47671C" w:rsidR="7BD404B7" w:rsidRDefault="00C10094" w:rsidP="7BD404B7">
            <w:r>
              <w:t>10 or 25 at $10K.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546005E5" w14:textId="0A7F00C0" w:rsidR="311D0CF3" w:rsidRDefault="311D0CF3" w:rsidP="311D0CF3"/>
        </w:tc>
        <w:tc>
          <w:tcPr>
            <w:tcW w:w="1710" w:type="dxa"/>
            <w:shd w:val="clear" w:color="auto" w:fill="FBE4D5" w:themeFill="accent2" w:themeFillTint="33"/>
          </w:tcPr>
          <w:p w14:paraId="22A526CA" w14:textId="494F97C0" w:rsidR="311D0CF3" w:rsidRDefault="311D0CF3" w:rsidP="311D0CF3"/>
        </w:tc>
      </w:tr>
      <w:tr w:rsidR="7BD404B7" w14:paraId="2D4C11A0" w14:textId="77777777" w:rsidTr="00687CB5">
        <w:tc>
          <w:tcPr>
            <w:tcW w:w="1975" w:type="dxa"/>
            <w:shd w:val="clear" w:color="auto" w:fill="auto"/>
          </w:tcPr>
          <w:p w14:paraId="2F76E489" w14:textId="18900558" w:rsidR="0897B6EA" w:rsidRDefault="0897B6EA" w:rsidP="7BD404B7">
            <w:r>
              <w:t xml:space="preserve">SFCC BAS Scholarship </w:t>
            </w:r>
          </w:p>
        </w:tc>
        <w:tc>
          <w:tcPr>
            <w:tcW w:w="2004" w:type="dxa"/>
            <w:shd w:val="clear" w:color="auto" w:fill="auto"/>
          </w:tcPr>
          <w:p w14:paraId="6B381693" w14:textId="651630DF" w:rsidR="3780982A" w:rsidRDefault="3780982A" w:rsidP="7BD404B7">
            <w:r>
              <w:t>$45,000 to $90,000</w:t>
            </w:r>
          </w:p>
          <w:p w14:paraId="5C048F20" w14:textId="683FBB50" w:rsidR="7BD404B7" w:rsidRDefault="7BD404B7" w:rsidP="7BD404B7"/>
        </w:tc>
        <w:tc>
          <w:tcPr>
            <w:tcW w:w="5556" w:type="dxa"/>
            <w:shd w:val="clear" w:color="auto" w:fill="auto"/>
          </w:tcPr>
          <w:p w14:paraId="7C07921E" w14:textId="71A7F300" w:rsidR="7BD404B7" w:rsidRDefault="00AB2FE2" w:rsidP="7BD404B7">
            <w:r>
              <w:t>Would support the first c</w:t>
            </w:r>
            <w:r w:rsidR="009F3CDE">
              <w:t>ohort of 15 BAS students</w:t>
            </w:r>
            <w:r w:rsidR="0028236E">
              <w:t xml:space="preserve"> </w:t>
            </w:r>
            <w:r w:rsidR="00350DDA">
              <w:t>for 1 or 2 years</w:t>
            </w:r>
            <w:r w:rsidR="009F3CDE">
              <w:t>. The program is 2 years (</w:t>
            </w:r>
            <w:proofErr w:type="spellStart"/>
            <w:r w:rsidR="009F3CDE">
              <w:t>jr</w:t>
            </w:r>
            <w:proofErr w:type="spellEnd"/>
            <w:r w:rsidR="009F3CDE">
              <w:t>/</w:t>
            </w:r>
            <w:proofErr w:type="spellStart"/>
            <w:r w:rsidR="009F3CDE">
              <w:t>sr</w:t>
            </w:r>
            <w:proofErr w:type="spellEnd"/>
            <w:r w:rsidR="009F3CDE">
              <w:t xml:space="preserve">). </w:t>
            </w:r>
          </w:p>
        </w:tc>
        <w:tc>
          <w:tcPr>
            <w:tcW w:w="1710" w:type="dxa"/>
            <w:shd w:val="clear" w:color="auto" w:fill="auto"/>
          </w:tcPr>
          <w:p w14:paraId="7E7B8A40" w14:textId="579DA6FB" w:rsidR="311D0CF3" w:rsidRDefault="311D0CF3" w:rsidP="311D0CF3"/>
        </w:tc>
        <w:tc>
          <w:tcPr>
            <w:tcW w:w="1710" w:type="dxa"/>
            <w:shd w:val="clear" w:color="auto" w:fill="auto"/>
          </w:tcPr>
          <w:p w14:paraId="7BC5927E" w14:textId="2215A6A9" w:rsidR="311D0CF3" w:rsidRDefault="311D0CF3" w:rsidP="311D0CF3"/>
        </w:tc>
      </w:tr>
      <w:tr w:rsidR="7BD404B7" w14:paraId="68A5E878" w14:textId="77777777" w:rsidTr="00687CB5">
        <w:tc>
          <w:tcPr>
            <w:tcW w:w="1975" w:type="dxa"/>
            <w:shd w:val="clear" w:color="auto" w:fill="FBE4D5" w:themeFill="accent2" w:themeFillTint="33"/>
          </w:tcPr>
          <w:p w14:paraId="23C56B08" w14:textId="31A5ECD4" w:rsidR="0897B6EA" w:rsidRDefault="0897B6EA" w:rsidP="7BD404B7">
            <w:r>
              <w:t xml:space="preserve">SUDP Alt Cert </w:t>
            </w:r>
            <w:r w:rsidR="00C10094">
              <w:t xml:space="preserve">continuation </w:t>
            </w:r>
          </w:p>
        </w:tc>
        <w:tc>
          <w:tcPr>
            <w:tcW w:w="2004" w:type="dxa"/>
            <w:shd w:val="clear" w:color="auto" w:fill="FBE4D5" w:themeFill="accent2" w:themeFillTint="33"/>
          </w:tcPr>
          <w:p w14:paraId="17AF0191" w14:textId="2714D3D6" w:rsidR="7F2F9651" w:rsidRDefault="7F2F9651" w:rsidP="7BD404B7">
            <w:r>
              <w:t>$27,500 to $55,000</w:t>
            </w:r>
          </w:p>
        </w:tc>
        <w:tc>
          <w:tcPr>
            <w:tcW w:w="5556" w:type="dxa"/>
            <w:shd w:val="clear" w:color="auto" w:fill="FBE4D5" w:themeFill="accent2" w:themeFillTint="33"/>
          </w:tcPr>
          <w:p w14:paraId="6A8C0BE6" w14:textId="77777777" w:rsidR="009B51C3" w:rsidRDefault="009B51C3" w:rsidP="7BD404B7">
            <w:r>
              <w:t xml:space="preserve">Covers the cost of eligible providers completing the SUDP Alternative Certification through Community Colleges of Spokane. </w:t>
            </w:r>
          </w:p>
          <w:p w14:paraId="2DCE4833" w14:textId="14F5A698" w:rsidR="7BD404B7" w:rsidRDefault="00C10094" w:rsidP="7BD404B7">
            <w:r>
              <w:t xml:space="preserve">5 or 10 </w:t>
            </w:r>
            <w:r w:rsidR="009B51C3">
              <w:t xml:space="preserve">at </w:t>
            </w:r>
            <w:r w:rsidR="00B31FE3">
              <w:t>$5,500 each.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70A9369C" w14:textId="25CCA9EE" w:rsidR="311D0CF3" w:rsidRDefault="311D0CF3" w:rsidP="311D0CF3"/>
        </w:tc>
        <w:tc>
          <w:tcPr>
            <w:tcW w:w="1710" w:type="dxa"/>
            <w:shd w:val="clear" w:color="auto" w:fill="FBE4D5" w:themeFill="accent2" w:themeFillTint="33"/>
          </w:tcPr>
          <w:p w14:paraId="0D62D8B2" w14:textId="324D5792" w:rsidR="311D0CF3" w:rsidRDefault="311D0CF3" w:rsidP="311D0CF3"/>
        </w:tc>
      </w:tr>
    </w:tbl>
    <w:p w14:paraId="24D60B7D" w14:textId="66D507D7" w:rsidR="0388B655" w:rsidRDefault="0388B655" w:rsidP="0388B655"/>
    <w:p w14:paraId="25780288" w14:textId="77777777" w:rsidR="002C5F11" w:rsidRDefault="002C5F1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3856FE8C" w14:textId="77777777" w:rsidR="00687CB5" w:rsidRDefault="00687CB5" w:rsidP="0388B655">
      <w:pPr>
        <w:rPr>
          <w:b/>
          <w:bCs/>
          <w:sz w:val="32"/>
          <w:szCs w:val="32"/>
        </w:rPr>
      </w:pPr>
    </w:p>
    <w:p w14:paraId="5C3F35F1" w14:textId="071E8167" w:rsidR="0388B655" w:rsidRPr="00281D2B" w:rsidRDefault="00281D2B" w:rsidP="0388B65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Peers &amp; CHWs</w:t>
      </w:r>
      <w:r w:rsidRPr="7BD404B7">
        <w:rPr>
          <w:b/>
          <w:bCs/>
          <w:sz w:val="32"/>
          <w:szCs w:val="32"/>
        </w:rPr>
        <w:t>: $</w:t>
      </w:r>
      <w:r>
        <w:rPr>
          <w:b/>
          <w:bCs/>
          <w:sz w:val="32"/>
          <w:szCs w:val="32"/>
        </w:rPr>
        <w:t>230,000</w:t>
      </w:r>
    </w:p>
    <w:tbl>
      <w:tblPr>
        <w:tblStyle w:val="TableGrid"/>
        <w:tblW w:w="13225" w:type="dxa"/>
        <w:tblLayout w:type="fixed"/>
        <w:tblLook w:val="06A0" w:firstRow="1" w:lastRow="0" w:firstColumn="1" w:lastColumn="0" w:noHBand="1" w:noVBand="1"/>
      </w:tblPr>
      <w:tblGrid>
        <w:gridCol w:w="2065"/>
        <w:gridCol w:w="1260"/>
        <w:gridCol w:w="6570"/>
        <w:gridCol w:w="1710"/>
        <w:gridCol w:w="1620"/>
      </w:tblGrid>
      <w:tr w:rsidR="00281D2B" w:rsidRPr="00281D2B" w14:paraId="064163C1" w14:textId="77777777" w:rsidTr="00914DD7">
        <w:tc>
          <w:tcPr>
            <w:tcW w:w="2065" w:type="dxa"/>
            <w:shd w:val="clear" w:color="auto" w:fill="F4B083" w:themeFill="accent2" w:themeFillTint="99"/>
          </w:tcPr>
          <w:p w14:paraId="6BC52862" w14:textId="77777777" w:rsidR="00281D2B" w:rsidRPr="00281D2B" w:rsidRDefault="00281D2B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Activity name</w:t>
            </w:r>
          </w:p>
        </w:tc>
        <w:tc>
          <w:tcPr>
            <w:tcW w:w="1260" w:type="dxa"/>
            <w:shd w:val="clear" w:color="auto" w:fill="F4B083" w:themeFill="accent2" w:themeFillTint="99"/>
          </w:tcPr>
          <w:p w14:paraId="05AB3962" w14:textId="77777777" w:rsidR="00281D2B" w:rsidRPr="00281D2B" w:rsidRDefault="00281D2B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Approx. cost range</w:t>
            </w:r>
          </w:p>
        </w:tc>
        <w:tc>
          <w:tcPr>
            <w:tcW w:w="6570" w:type="dxa"/>
            <w:shd w:val="clear" w:color="auto" w:fill="F4B083" w:themeFill="accent2" w:themeFillTint="99"/>
          </w:tcPr>
          <w:p w14:paraId="14C508CB" w14:textId="77777777" w:rsidR="00281D2B" w:rsidRPr="00281D2B" w:rsidRDefault="00281D2B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Short description/other info</w:t>
            </w:r>
          </w:p>
        </w:tc>
        <w:tc>
          <w:tcPr>
            <w:tcW w:w="1710" w:type="dxa"/>
            <w:shd w:val="clear" w:color="auto" w:fill="F4B083" w:themeFill="accent2" w:themeFillTint="99"/>
          </w:tcPr>
          <w:p w14:paraId="2F00C1A3" w14:textId="77777777" w:rsidR="00CC5C19" w:rsidRDefault="00281D2B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 xml:space="preserve">Activity priority level </w:t>
            </w:r>
          </w:p>
          <w:p w14:paraId="65EF2351" w14:textId="69B7107F" w:rsidR="00281D2B" w:rsidRPr="00CC5C19" w:rsidRDefault="00281D2B">
            <w:r w:rsidRPr="00CC5C19">
              <w:t>(</w:t>
            </w:r>
            <w:proofErr w:type="gramStart"/>
            <w:r w:rsidRPr="00CC5C19">
              <w:t>high</w:t>
            </w:r>
            <w:proofErr w:type="gramEnd"/>
            <w:r w:rsidRPr="00CC5C19">
              <w:t>, med, low)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222AD6E2" w14:textId="77777777" w:rsidR="00281D2B" w:rsidRPr="00281D2B" w:rsidRDefault="00281D2B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Funding level</w:t>
            </w:r>
          </w:p>
          <w:p w14:paraId="60826AA0" w14:textId="77777777" w:rsidR="00281D2B" w:rsidRPr="00CC5C19" w:rsidRDefault="00281D2B">
            <w:r w:rsidRPr="00CC5C19">
              <w:t>(</w:t>
            </w:r>
            <w:proofErr w:type="gramStart"/>
            <w:r w:rsidRPr="00CC5C19">
              <w:t>none</w:t>
            </w:r>
            <w:proofErr w:type="gramEnd"/>
            <w:r w:rsidRPr="00CC5C19">
              <w:t>, low, med, high, full)</w:t>
            </w:r>
          </w:p>
        </w:tc>
      </w:tr>
      <w:tr w:rsidR="00DE22F7" w14:paraId="60F8A6A0" w14:textId="77777777" w:rsidTr="00914DD7">
        <w:tc>
          <w:tcPr>
            <w:tcW w:w="2065" w:type="dxa"/>
            <w:shd w:val="clear" w:color="auto" w:fill="auto"/>
          </w:tcPr>
          <w:p w14:paraId="6F2A18A0" w14:textId="4A63E2B6" w:rsidR="00DE22F7" w:rsidRDefault="00736AEE">
            <w:r>
              <w:t>Certified Peer Counselor (</w:t>
            </w:r>
            <w:r w:rsidR="00DE22F7">
              <w:t>CPC</w:t>
            </w:r>
            <w:r>
              <w:t>)</w:t>
            </w:r>
            <w:r w:rsidR="00DE22F7">
              <w:t xml:space="preserve"> Trainings</w:t>
            </w:r>
          </w:p>
        </w:tc>
        <w:tc>
          <w:tcPr>
            <w:tcW w:w="1260" w:type="dxa"/>
            <w:shd w:val="clear" w:color="auto" w:fill="auto"/>
          </w:tcPr>
          <w:p w14:paraId="3CFF951B" w14:textId="6C8E8A62" w:rsidR="00DE22F7" w:rsidRDefault="00DE22F7">
            <w:r>
              <w:t>$</w:t>
            </w:r>
            <w:r w:rsidR="0029685A">
              <w:t>4</w:t>
            </w:r>
            <w:r>
              <w:t>0,000 to $</w:t>
            </w:r>
            <w:r w:rsidR="0029685A">
              <w:t>8</w:t>
            </w:r>
            <w:r>
              <w:t>0,000</w:t>
            </w:r>
          </w:p>
          <w:p w14:paraId="340804B3" w14:textId="77777777" w:rsidR="00DE22F7" w:rsidRDefault="00DE22F7"/>
        </w:tc>
        <w:tc>
          <w:tcPr>
            <w:tcW w:w="6570" w:type="dxa"/>
            <w:shd w:val="clear" w:color="auto" w:fill="auto"/>
          </w:tcPr>
          <w:p w14:paraId="32A92357" w14:textId="0F9F0FD0" w:rsidR="00DE22F7" w:rsidRDefault="00685FD8">
            <w:r>
              <w:t>To support local candidates in completing CPC</w:t>
            </w:r>
            <w:r w:rsidR="00EF0A1F">
              <w:t>, addressing limited state-provided trainings.</w:t>
            </w:r>
            <w:r w:rsidR="00800A17">
              <w:t xml:space="preserve"> </w:t>
            </w:r>
            <w:r w:rsidR="002A605D">
              <w:t>2 to 4 trainings at u</w:t>
            </w:r>
            <w:r w:rsidR="0029685A">
              <w:t xml:space="preserve">p to </w:t>
            </w:r>
            <w:r w:rsidR="002C5F11">
              <w:t>$</w:t>
            </w:r>
            <w:r w:rsidR="0029685A">
              <w:t>20k</w:t>
            </w:r>
            <w:r w:rsidR="002C5F11">
              <w:t xml:space="preserve"> </w:t>
            </w:r>
            <w:r w:rsidR="002A605D">
              <w:t>per training, depending on number of enrollees</w:t>
            </w:r>
            <w:r w:rsidR="002C5F11">
              <w:t xml:space="preserve"> - </w:t>
            </w:r>
            <w:r w:rsidR="002A605D">
              <w:t>25 (in-person) or 20 (online) candidates per training</w:t>
            </w:r>
          </w:p>
        </w:tc>
        <w:tc>
          <w:tcPr>
            <w:tcW w:w="1710" w:type="dxa"/>
            <w:shd w:val="clear" w:color="auto" w:fill="auto"/>
          </w:tcPr>
          <w:p w14:paraId="1DBD920E" w14:textId="77777777" w:rsidR="00DE22F7" w:rsidRDefault="00DE22F7"/>
        </w:tc>
        <w:tc>
          <w:tcPr>
            <w:tcW w:w="1620" w:type="dxa"/>
            <w:shd w:val="clear" w:color="auto" w:fill="auto"/>
          </w:tcPr>
          <w:p w14:paraId="0C98E793" w14:textId="77777777" w:rsidR="00DE22F7" w:rsidRDefault="00DE22F7"/>
        </w:tc>
      </w:tr>
      <w:tr w:rsidR="00DE22F7" w14:paraId="7709050F" w14:textId="77777777" w:rsidTr="00914DD7">
        <w:tc>
          <w:tcPr>
            <w:tcW w:w="2065" w:type="dxa"/>
            <w:shd w:val="clear" w:color="auto" w:fill="FBE4D5" w:themeFill="accent2" w:themeFillTint="33"/>
          </w:tcPr>
          <w:p w14:paraId="3E1D391E" w14:textId="77777777" w:rsidR="00DE22F7" w:rsidRDefault="00DE22F7">
            <w:r>
              <w:t>Eastern WA CHW Network support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02250A72" w14:textId="77777777" w:rsidR="00DE22F7" w:rsidRDefault="00DE22F7">
            <w:r>
              <w:t>$25,000 to $230,000</w:t>
            </w:r>
          </w:p>
        </w:tc>
        <w:tc>
          <w:tcPr>
            <w:tcW w:w="6570" w:type="dxa"/>
            <w:shd w:val="clear" w:color="auto" w:fill="FBE4D5" w:themeFill="accent2" w:themeFillTint="33"/>
          </w:tcPr>
          <w:p w14:paraId="620E6305" w14:textId="356585EC" w:rsidR="00BC3D4B" w:rsidRPr="00DE22F7" w:rsidRDefault="00586D5B" w:rsidP="008C2A67">
            <w:r>
              <w:t xml:space="preserve">The Network is </w:t>
            </w:r>
            <w:r w:rsidR="004F707A">
              <w:t xml:space="preserve">made up of CHWs from </w:t>
            </w:r>
            <w:r w:rsidR="008C2A67">
              <w:t>throughout the region</w:t>
            </w:r>
            <w:r w:rsidR="00800A17">
              <w:t>. M</w:t>
            </w:r>
            <w:r w:rsidR="006D4844">
              <w:t>eet</w:t>
            </w:r>
            <w:r w:rsidR="00800A17">
              <w:t>s</w:t>
            </w:r>
            <w:r w:rsidR="006D4844">
              <w:t xml:space="preserve"> monthly for networking, resource</w:t>
            </w:r>
            <w:r w:rsidR="008C2A67">
              <w:t xml:space="preserve">-sharing, </w:t>
            </w:r>
            <w:r w:rsidR="00AD2D1A">
              <w:t xml:space="preserve">training, </w:t>
            </w:r>
            <w:r w:rsidR="008C2A67">
              <w:t xml:space="preserve">collaboration. </w:t>
            </w:r>
            <w:r w:rsidR="00BC3D4B">
              <w:t xml:space="preserve">Flexible fund </w:t>
            </w:r>
            <w:r w:rsidR="006D4844">
              <w:t xml:space="preserve">would </w:t>
            </w:r>
            <w:r w:rsidR="00BC3D4B">
              <w:t>support</w:t>
            </w:r>
            <w:r w:rsidR="006D4844">
              <w:t>/</w:t>
            </w:r>
            <w:r w:rsidR="00800A17">
              <w:t xml:space="preserve"> </w:t>
            </w:r>
            <w:r w:rsidR="006D4844">
              <w:t>enhance</w:t>
            </w:r>
            <w:r w:rsidR="00BC3D4B">
              <w:t xml:space="preserve"> </w:t>
            </w:r>
            <w:r w:rsidR="00FF2589">
              <w:t>the</w:t>
            </w:r>
            <w:r w:rsidR="00BC3D4B">
              <w:t xml:space="preserve"> work</w:t>
            </w:r>
            <w:r w:rsidR="00DE22F7">
              <w:t xml:space="preserve">. </w:t>
            </w:r>
            <w:r w:rsidR="0045691E">
              <w:t xml:space="preserve">Could put a small amount or </w:t>
            </w:r>
            <w:r w:rsidR="00D76D5C">
              <w:t>give a large/full amount for the Network to determine use.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5CF9AC15" w14:textId="77777777" w:rsidR="00DE22F7" w:rsidRDefault="00DE22F7"/>
        </w:tc>
        <w:tc>
          <w:tcPr>
            <w:tcW w:w="1620" w:type="dxa"/>
            <w:shd w:val="clear" w:color="auto" w:fill="FBE4D5" w:themeFill="accent2" w:themeFillTint="33"/>
          </w:tcPr>
          <w:p w14:paraId="714B765F" w14:textId="77777777" w:rsidR="00DE22F7" w:rsidRDefault="00DE22F7"/>
        </w:tc>
      </w:tr>
      <w:tr w:rsidR="00DE22F7" w14:paraId="0B7EDBAB" w14:textId="77777777" w:rsidTr="00914DD7">
        <w:tc>
          <w:tcPr>
            <w:tcW w:w="2065" w:type="dxa"/>
            <w:shd w:val="clear" w:color="auto" w:fill="auto"/>
          </w:tcPr>
          <w:p w14:paraId="3013F5AE" w14:textId="77777777" w:rsidR="00DE22F7" w:rsidRDefault="00DE22F7">
            <w:r>
              <w:t>HRSA Grant Mini Model</w:t>
            </w:r>
          </w:p>
        </w:tc>
        <w:tc>
          <w:tcPr>
            <w:tcW w:w="1260" w:type="dxa"/>
            <w:shd w:val="clear" w:color="auto" w:fill="auto"/>
          </w:tcPr>
          <w:p w14:paraId="08C4D6FA" w14:textId="77777777" w:rsidR="00DE22F7" w:rsidRDefault="00DE22F7">
            <w:r>
              <w:t>$230,000</w:t>
            </w:r>
          </w:p>
        </w:tc>
        <w:tc>
          <w:tcPr>
            <w:tcW w:w="6570" w:type="dxa"/>
            <w:shd w:val="clear" w:color="auto" w:fill="auto"/>
          </w:tcPr>
          <w:p w14:paraId="0277E23B" w14:textId="6E994D1F" w:rsidR="00310DEF" w:rsidRDefault="00C53B06" w:rsidP="006A23AA">
            <w:r>
              <w:t>Ex</w:t>
            </w:r>
            <w:r w:rsidRPr="00C53B06">
              <w:t>pand the public health workforce by training new and existing CHWs and health support workers</w:t>
            </w:r>
            <w:r>
              <w:t xml:space="preserve">, </w:t>
            </w:r>
            <w:r w:rsidRPr="00C53B06">
              <w:t>with financial support to offset expenses that would impede success in training.</w:t>
            </w:r>
            <w:r w:rsidR="00B67E59">
              <w:t xml:space="preserve"> </w:t>
            </w:r>
            <w:r w:rsidR="001148E0">
              <w:t xml:space="preserve">May include </w:t>
            </w:r>
            <w:r w:rsidR="00B67E59" w:rsidRPr="00B67E59">
              <w:t>experiential training, on-the-job training, apprenticeship, field placement, and employment opportunities.</w:t>
            </w:r>
            <w:r w:rsidR="00800A17">
              <w:t xml:space="preserve"> </w:t>
            </w:r>
            <w:r w:rsidR="00310DEF">
              <w:t>$7,500 per trainee in grant model</w:t>
            </w:r>
          </w:p>
        </w:tc>
        <w:tc>
          <w:tcPr>
            <w:tcW w:w="1710" w:type="dxa"/>
            <w:shd w:val="clear" w:color="auto" w:fill="auto"/>
          </w:tcPr>
          <w:p w14:paraId="4C2EA7C2" w14:textId="77777777" w:rsidR="00DE22F7" w:rsidRDefault="00DE22F7"/>
        </w:tc>
        <w:tc>
          <w:tcPr>
            <w:tcW w:w="1620" w:type="dxa"/>
            <w:shd w:val="clear" w:color="auto" w:fill="auto"/>
          </w:tcPr>
          <w:p w14:paraId="34E68B68" w14:textId="77777777" w:rsidR="00DE22F7" w:rsidRDefault="00DE22F7"/>
        </w:tc>
      </w:tr>
      <w:tr w:rsidR="00DE22F7" w14:paraId="76329EB1" w14:textId="77777777" w:rsidTr="00914DD7">
        <w:tc>
          <w:tcPr>
            <w:tcW w:w="2065" w:type="dxa"/>
            <w:shd w:val="clear" w:color="auto" w:fill="FBE4D5" w:themeFill="accent2" w:themeFillTint="33"/>
          </w:tcPr>
          <w:p w14:paraId="1CBDDC28" w14:textId="77777777" w:rsidR="00DE22F7" w:rsidRDefault="00DE22F7">
            <w:r>
              <w:t>Joint trainings – advocacy/policy change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3AB3A460" w14:textId="77777777" w:rsidR="00DE22F7" w:rsidRDefault="00DE22F7">
            <w:r>
              <w:t>$10,000 to $50,000</w:t>
            </w:r>
          </w:p>
        </w:tc>
        <w:tc>
          <w:tcPr>
            <w:tcW w:w="6570" w:type="dxa"/>
            <w:shd w:val="clear" w:color="auto" w:fill="FBE4D5" w:themeFill="accent2" w:themeFillTint="33"/>
          </w:tcPr>
          <w:p w14:paraId="18B5D969" w14:textId="4D088F5A" w:rsidR="00DE22F7" w:rsidRDefault="00996C92">
            <w:r>
              <w:t>Training for peers/CHWs about effective approaches to advocacy</w:t>
            </w:r>
            <w:r w:rsidR="002F2036">
              <w:t xml:space="preserve">, such as policy advocacy. </w:t>
            </w:r>
            <w:r w:rsidR="000D3E47">
              <w:t>Could include funding to offset barriers like transportation and childcare.</w:t>
            </w:r>
            <w:r w:rsidR="00994DEF">
              <w:t xml:space="preserve"> </w:t>
            </w:r>
            <w:r w:rsidR="000D3E47">
              <w:t>Potentially offered via the Eastern WA CHW Network.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13623F27" w14:textId="77777777" w:rsidR="00DE22F7" w:rsidRDefault="00DE22F7"/>
        </w:tc>
        <w:tc>
          <w:tcPr>
            <w:tcW w:w="1620" w:type="dxa"/>
            <w:shd w:val="clear" w:color="auto" w:fill="FBE4D5" w:themeFill="accent2" w:themeFillTint="33"/>
          </w:tcPr>
          <w:p w14:paraId="3B1D82E0" w14:textId="77777777" w:rsidR="00DE22F7" w:rsidRDefault="00DE22F7"/>
        </w:tc>
      </w:tr>
      <w:tr w:rsidR="00DE22F7" w14:paraId="5DA63283" w14:textId="77777777" w:rsidTr="00914DD7">
        <w:tc>
          <w:tcPr>
            <w:tcW w:w="2065" w:type="dxa"/>
            <w:shd w:val="clear" w:color="auto" w:fill="auto"/>
          </w:tcPr>
          <w:p w14:paraId="0EFEEBE8" w14:textId="77777777" w:rsidR="00DE22F7" w:rsidRDefault="00DE22F7">
            <w:r>
              <w:t>Joint trainings – culturally specific/accessibility</w:t>
            </w:r>
          </w:p>
        </w:tc>
        <w:tc>
          <w:tcPr>
            <w:tcW w:w="1260" w:type="dxa"/>
            <w:shd w:val="clear" w:color="auto" w:fill="auto"/>
          </w:tcPr>
          <w:p w14:paraId="64ACE3A5" w14:textId="77777777" w:rsidR="00DE22F7" w:rsidRDefault="00DE22F7">
            <w:r>
              <w:t>$10,000 to $50,000</w:t>
            </w:r>
          </w:p>
          <w:p w14:paraId="57A60BE7" w14:textId="77777777" w:rsidR="00DE22F7" w:rsidRDefault="00DE22F7"/>
        </w:tc>
        <w:tc>
          <w:tcPr>
            <w:tcW w:w="6570" w:type="dxa"/>
            <w:shd w:val="clear" w:color="auto" w:fill="auto"/>
          </w:tcPr>
          <w:p w14:paraId="18238A64" w14:textId="3D1F85C4" w:rsidR="00DE22F7" w:rsidRDefault="00994DEF">
            <w:r>
              <w:t xml:space="preserve">Training for peers/CHWs </w:t>
            </w:r>
            <w:r w:rsidR="007C317A">
              <w:t xml:space="preserve">on culturally specific approaches and/or accessibility. </w:t>
            </w:r>
            <w:r w:rsidR="000D3E47">
              <w:t xml:space="preserve">Could include funding to offset barriers like transportation and childcare. Potentially offered via the Eastern WA CHW Network. </w:t>
            </w:r>
          </w:p>
        </w:tc>
        <w:tc>
          <w:tcPr>
            <w:tcW w:w="1710" w:type="dxa"/>
            <w:shd w:val="clear" w:color="auto" w:fill="auto"/>
          </w:tcPr>
          <w:p w14:paraId="2680E044" w14:textId="77777777" w:rsidR="00DE22F7" w:rsidRDefault="00DE22F7"/>
        </w:tc>
        <w:tc>
          <w:tcPr>
            <w:tcW w:w="1620" w:type="dxa"/>
            <w:shd w:val="clear" w:color="auto" w:fill="auto"/>
          </w:tcPr>
          <w:p w14:paraId="3928648C" w14:textId="77777777" w:rsidR="00DE22F7" w:rsidRDefault="00DE22F7"/>
        </w:tc>
      </w:tr>
      <w:tr w:rsidR="00DE22F7" w14:paraId="16BBC5F6" w14:textId="77777777" w:rsidTr="00914DD7">
        <w:tc>
          <w:tcPr>
            <w:tcW w:w="2065" w:type="dxa"/>
            <w:shd w:val="clear" w:color="auto" w:fill="FBE4D5" w:themeFill="accent2" w:themeFillTint="33"/>
          </w:tcPr>
          <w:p w14:paraId="4BECBBC2" w14:textId="3E312AF9" w:rsidR="00DE22F7" w:rsidRDefault="00DE22F7">
            <w:r>
              <w:t>Practicum</w:t>
            </w:r>
            <w:r w:rsidR="001D582E">
              <w:t>/</w:t>
            </w:r>
            <w:r w:rsidR="00914DD7">
              <w:t xml:space="preserve"> </w:t>
            </w:r>
            <w:r w:rsidR="001D582E">
              <w:t>internship</w:t>
            </w:r>
            <w:r>
              <w:t xml:space="preserve"> model pilot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53EBD818" w14:textId="1616FD53" w:rsidR="00DE22F7" w:rsidRDefault="00C33C6F">
            <w:r>
              <w:t>$50,000 to $75,000</w:t>
            </w:r>
          </w:p>
        </w:tc>
        <w:tc>
          <w:tcPr>
            <w:tcW w:w="6570" w:type="dxa"/>
            <w:shd w:val="clear" w:color="auto" w:fill="FBE4D5" w:themeFill="accent2" w:themeFillTint="33"/>
          </w:tcPr>
          <w:p w14:paraId="19CDE9A9" w14:textId="78EA67A1" w:rsidR="00B45FFF" w:rsidRDefault="001D582E">
            <w:r>
              <w:t>P</w:t>
            </w:r>
            <w:r w:rsidR="00EB040F" w:rsidRPr="001D582E">
              <w:t xml:space="preserve">ilot </w:t>
            </w:r>
            <w:r w:rsidR="002E4F69" w:rsidRPr="001D582E">
              <w:t>onboarding curri</w:t>
            </w:r>
            <w:r w:rsidR="00EF57BA" w:rsidRPr="001D582E">
              <w:t>culum</w:t>
            </w:r>
            <w:r>
              <w:t>/internship</w:t>
            </w:r>
            <w:r w:rsidR="00EF57BA" w:rsidRPr="001D582E">
              <w:t xml:space="preserve"> for </w:t>
            </w:r>
            <w:r w:rsidR="002B5DEF" w:rsidRPr="001D582E">
              <w:t>peers</w:t>
            </w:r>
            <w:r>
              <w:t xml:space="preserve"> </w:t>
            </w:r>
            <w:r w:rsidR="00BC33D8" w:rsidRPr="001D582E">
              <w:t>to build s</w:t>
            </w:r>
            <w:r>
              <w:t>kills</w:t>
            </w:r>
            <w:r w:rsidR="00BC33D8" w:rsidRPr="001D582E">
              <w:t xml:space="preserve"> after CPC training</w:t>
            </w:r>
            <w:r w:rsidR="00175F62" w:rsidRPr="001D582E">
              <w:t xml:space="preserve">, including how to use and put into practice in advance of receiving caseload. </w:t>
            </w:r>
            <w:r w:rsidR="00B45FFF" w:rsidRPr="001D582E">
              <w:t xml:space="preserve">Possibly </w:t>
            </w:r>
            <w:r w:rsidR="00800A17">
              <w:t>RFP</w:t>
            </w:r>
            <w:r w:rsidR="00B45FFF" w:rsidRPr="001D582E">
              <w:t>.</w:t>
            </w:r>
          </w:p>
        </w:tc>
        <w:tc>
          <w:tcPr>
            <w:tcW w:w="1710" w:type="dxa"/>
            <w:shd w:val="clear" w:color="auto" w:fill="FBE4D5" w:themeFill="accent2" w:themeFillTint="33"/>
          </w:tcPr>
          <w:p w14:paraId="0B89C32D" w14:textId="77777777" w:rsidR="00DE22F7" w:rsidRDefault="00DE22F7"/>
        </w:tc>
        <w:tc>
          <w:tcPr>
            <w:tcW w:w="1620" w:type="dxa"/>
            <w:shd w:val="clear" w:color="auto" w:fill="FBE4D5" w:themeFill="accent2" w:themeFillTint="33"/>
          </w:tcPr>
          <w:p w14:paraId="3F115377" w14:textId="77777777" w:rsidR="00DE22F7" w:rsidRDefault="00DE22F7"/>
        </w:tc>
      </w:tr>
      <w:tr w:rsidR="00DE22F7" w14:paraId="33062ECC" w14:textId="77777777" w:rsidTr="00914DD7">
        <w:tc>
          <w:tcPr>
            <w:tcW w:w="2065" w:type="dxa"/>
            <w:shd w:val="clear" w:color="auto" w:fill="auto"/>
          </w:tcPr>
          <w:p w14:paraId="3CA63E04" w14:textId="1C750328" w:rsidR="00DE22F7" w:rsidRDefault="00DE22F7">
            <w:r>
              <w:t xml:space="preserve">Supervision support – </w:t>
            </w:r>
            <w:r w:rsidR="006256C7">
              <w:t xml:space="preserve">trainings, </w:t>
            </w:r>
            <w:r>
              <w:t>pilot model</w:t>
            </w:r>
          </w:p>
        </w:tc>
        <w:tc>
          <w:tcPr>
            <w:tcW w:w="1260" w:type="dxa"/>
            <w:shd w:val="clear" w:color="auto" w:fill="auto"/>
          </w:tcPr>
          <w:p w14:paraId="50A5FC83" w14:textId="76FB05E3" w:rsidR="00DE22F7" w:rsidRDefault="00DE22F7">
            <w:r>
              <w:t>$25,000 to $</w:t>
            </w:r>
            <w:r w:rsidR="006256C7">
              <w:t>75,000</w:t>
            </w:r>
          </w:p>
        </w:tc>
        <w:tc>
          <w:tcPr>
            <w:tcW w:w="6570" w:type="dxa"/>
            <w:shd w:val="clear" w:color="auto" w:fill="auto"/>
          </w:tcPr>
          <w:p w14:paraId="0AD51E5C" w14:textId="36BB7867" w:rsidR="00C02FD5" w:rsidRDefault="00BC65DD" w:rsidP="006256C7">
            <w:r>
              <w:t>S</w:t>
            </w:r>
            <w:r w:rsidR="0076567B">
              <w:t xml:space="preserve">upervision </w:t>
            </w:r>
            <w:r>
              <w:t>pilot</w:t>
            </w:r>
            <w:r w:rsidR="0076567B">
              <w:t xml:space="preserve"> that incorporates peer support/coaching</w:t>
            </w:r>
            <w:r>
              <w:t xml:space="preserve"> (possible RFP)</w:t>
            </w:r>
            <w:r w:rsidR="006256C7">
              <w:t>; trainings, technical assistance</w:t>
            </w:r>
            <w:r>
              <w:t xml:space="preserve">, access to experts around better supporting peers and CHWs. </w:t>
            </w:r>
          </w:p>
        </w:tc>
        <w:tc>
          <w:tcPr>
            <w:tcW w:w="1710" w:type="dxa"/>
            <w:shd w:val="clear" w:color="auto" w:fill="auto"/>
          </w:tcPr>
          <w:p w14:paraId="2CFA7110" w14:textId="77777777" w:rsidR="00DE22F7" w:rsidRDefault="00DE22F7"/>
        </w:tc>
        <w:tc>
          <w:tcPr>
            <w:tcW w:w="1620" w:type="dxa"/>
            <w:shd w:val="clear" w:color="auto" w:fill="auto"/>
          </w:tcPr>
          <w:p w14:paraId="1ED02AC9" w14:textId="77777777" w:rsidR="00DE22F7" w:rsidRDefault="00DE22F7"/>
        </w:tc>
      </w:tr>
    </w:tbl>
    <w:p w14:paraId="3A9214F6" w14:textId="77777777" w:rsidR="00687CB5" w:rsidRDefault="00687CB5" w:rsidP="00CD054B">
      <w:pPr>
        <w:rPr>
          <w:b/>
          <w:bCs/>
          <w:sz w:val="32"/>
          <w:szCs w:val="32"/>
        </w:rPr>
      </w:pPr>
    </w:p>
    <w:p w14:paraId="75AB6725" w14:textId="51E0DD2E" w:rsidR="0388B655" w:rsidRPr="00CD054B" w:rsidRDefault="0388B655" w:rsidP="00CD054B">
      <w:pPr>
        <w:rPr>
          <w:b/>
          <w:bCs/>
          <w:sz w:val="32"/>
          <w:szCs w:val="32"/>
        </w:rPr>
      </w:pPr>
      <w:r w:rsidRPr="00DE22F7">
        <w:rPr>
          <w:b/>
          <w:bCs/>
          <w:sz w:val="32"/>
          <w:szCs w:val="32"/>
        </w:rPr>
        <w:t>Evidence-Based Practices: $310,000</w:t>
      </w:r>
    </w:p>
    <w:tbl>
      <w:tblPr>
        <w:tblStyle w:val="TableGrid"/>
        <w:tblW w:w="12865" w:type="dxa"/>
        <w:tblLayout w:type="fixed"/>
        <w:tblLook w:val="06A0" w:firstRow="1" w:lastRow="0" w:firstColumn="1" w:lastColumn="0" w:noHBand="1" w:noVBand="1"/>
      </w:tblPr>
      <w:tblGrid>
        <w:gridCol w:w="2605"/>
        <w:gridCol w:w="1374"/>
        <w:gridCol w:w="5466"/>
        <w:gridCol w:w="1800"/>
        <w:gridCol w:w="1620"/>
      </w:tblGrid>
      <w:tr w:rsidR="00DE22F7" w:rsidRPr="00281D2B" w14:paraId="6E060F95" w14:textId="77777777" w:rsidTr="00687CB5">
        <w:tc>
          <w:tcPr>
            <w:tcW w:w="2605" w:type="dxa"/>
            <w:shd w:val="clear" w:color="auto" w:fill="F4B083" w:themeFill="accent2" w:themeFillTint="99"/>
          </w:tcPr>
          <w:p w14:paraId="03AA6409" w14:textId="77777777" w:rsidR="00DE22F7" w:rsidRPr="00281D2B" w:rsidRDefault="00DE22F7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Activity name</w:t>
            </w:r>
          </w:p>
        </w:tc>
        <w:tc>
          <w:tcPr>
            <w:tcW w:w="1374" w:type="dxa"/>
            <w:shd w:val="clear" w:color="auto" w:fill="F4B083" w:themeFill="accent2" w:themeFillTint="99"/>
          </w:tcPr>
          <w:p w14:paraId="3ACC628B" w14:textId="77777777" w:rsidR="00DE22F7" w:rsidRPr="00281D2B" w:rsidRDefault="00DE22F7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Approx. cost range</w:t>
            </w:r>
          </w:p>
        </w:tc>
        <w:tc>
          <w:tcPr>
            <w:tcW w:w="5466" w:type="dxa"/>
            <w:shd w:val="clear" w:color="auto" w:fill="F4B083" w:themeFill="accent2" w:themeFillTint="99"/>
          </w:tcPr>
          <w:p w14:paraId="4DED4DF4" w14:textId="77777777" w:rsidR="00DE22F7" w:rsidRPr="00281D2B" w:rsidRDefault="00DE22F7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Short description/other info</w:t>
            </w:r>
          </w:p>
        </w:tc>
        <w:tc>
          <w:tcPr>
            <w:tcW w:w="1800" w:type="dxa"/>
            <w:shd w:val="clear" w:color="auto" w:fill="F4B083" w:themeFill="accent2" w:themeFillTint="99"/>
          </w:tcPr>
          <w:p w14:paraId="73C84F4F" w14:textId="77777777" w:rsidR="00CC5C19" w:rsidRDefault="00DE22F7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 xml:space="preserve">Activity priority level </w:t>
            </w:r>
          </w:p>
          <w:p w14:paraId="23D47337" w14:textId="4B115A76" w:rsidR="00DE22F7" w:rsidRPr="00CC5C19" w:rsidRDefault="00DE22F7">
            <w:r w:rsidRPr="00CC5C19">
              <w:t>(</w:t>
            </w:r>
            <w:proofErr w:type="gramStart"/>
            <w:r w:rsidRPr="00CC5C19">
              <w:t>high</w:t>
            </w:r>
            <w:proofErr w:type="gramEnd"/>
            <w:r w:rsidRPr="00CC5C19">
              <w:t>, med, low)</w:t>
            </w:r>
          </w:p>
        </w:tc>
        <w:tc>
          <w:tcPr>
            <w:tcW w:w="1620" w:type="dxa"/>
            <w:shd w:val="clear" w:color="auto" w:fill="F4B083" w:themeFill="accent2" w:themeFillTint="99"/>
          </w:tcPr>
          <w:p w14:paraId="2854DC33" w14:textId="77777777" w:rsidR="00DE22F7" w:rsidRPr="00281D2B" w:rsidRDefault="00DE22F7">
            <w:pPr>
              <w:rPr>
                <w:b/>
                <w:bCs/>
              </w:rPr>
            </w:pPr>
            <w:r w:rsidRPr="00281D2B">
              <w:rPr>
                <w:b/>
                <w:bCs/>
              </w:rPr>
              <w:t>Funding level</w:t>
            </w:r>
          </w:p>
          <w:p w14:paraId="5A90547C" w14:textId="77777777" w:rsidR="00DE22F7" w:rsidRPr="00CC5C19" w:rsidRDefault="00DE22F7">
            <w:r w:rsidRPr="00CC5C19">
              <w:t>(</w:t>
            </w:r>
            <w:proofErr w:type="gramStart"/>
            <w:r w:rsidRPr="00CC5C19">
              <w:t>none</w:t>
            </w:r>
            <w:proofErr w:type="gramEnd"/>
            <w:r w:rsidRPr="00CC5C19">
              <w:t>, low, med, high, full)</w:t>
            </w:r>
          </w:p>
        </w:tc>
      </w:tr>
      <w:tr w:rsidR="0097467D" w14:paraId="115BFB56" w14:textId="77777777" w:rsidTr="00687CB5">
        <w:tc>
          <w:tcPr>
            <w:tcW w:w="2605" w:type="dxa"/>
            <w:shd w:val="clear" w:color="auto" w:fill="auto"/>
          </w:tcPr>
          <w:p w14:paraId="6CB8E7ED" w14:textId="77777777" w:rsidR="0097467D" w:rsidRDefault="0097467D">
            <w:r>
              <w:t>BHT CEU Provider Certification</w:t>
            </w:r>
          </w:p>
        </w:tc>
        <w:tc>
          <w:tcPr>
            <w:tcW w:w="1374" w:type="dxa"/>
            <w:shd w:val="clear" w:color="auto" w:fill="auto"/>
          </w:tcPr>
          <w:p w14:paraId="0CA6535B" w14:textId="77777777" w:rsidR="0097467D" w:rsidRDefault="0097467D">
            <w:r>
              <w:t>$500</w:t>
            </w:r>
          </w:p>
        </w:tc>
        <w:tc>
          <w:tcPr>
            <w:tcW w:w="5466" w:type="dxa"/>
            <w:shd w:val="clear" w:color="auto" w:fill="auto"/>
          </w:tcPr>
          <w:p w14:paraId="63D87F08" w14:textId="7ECE6DA7" w:rsidR="0097467D" w:rsidRDefault="00381067">
            <w:r>
              <w:t xml:space="preserve">Certification allows organization to offer CEUs at trainings. Good for 2 years. </w:t>
            </w:r>
          </w:p>
        </w:tc>
        <w:tc>
          <w:tcPr>
            <w:tcW w:w="1800" w:type="dxa"/>
            <w:shd w:val="clear" w:color="auto" w:fill="auto"/>
          </w:tcPr>
          <w:p w14:paraId="038E3FDC" w14:textId="77777777" w:rsidR="0097467D" w:rsidRDefault="0097467D"/>
        </w:tc>
        <w:tc>
          <w:tcPr>
            <w:tcW w:w="1620" w:type="dxa"/>
            <w:shd w:val="clear" w:color="auto" w:fill="auto"/>
          </w:tcPr>
          <w:p w14:paraId="03348842" w14:textId="77777777" w:rsidR="0097467D" w:rsidRDefault="0097467D"/>
        </w:tc>
      </w:tr>
      <w:tr w:rsidR="00CD054B" w14:paraId="460E385C" w14:textId="77777777" w:rsidTr="00687CB5">
        <w:tc>
          <w:tcPr>
            <w:tcW w:w="2605" w:type="dxa"/>
            <w:shd w:val="clear" w:color="auto" w:fill="FBE4D5" w:themeFill="accent2" w:themeFillTint="33"/>
          </w:tcPr>
          <w:p w14:paraId="10C5BDEE" w14:textId="77777777" w:rsidR="0097467D" w:rsidRDefault="0097467D">
            <w:r>
              <w:t>Offset lost billable hours</w:t>
            </w:r>
          </w:p>
        </w:tc>
        <w:tc>
          <w:tcPr>
            <w:tcW w:w="1374" w:type="dxa"/>
            <w:shd w:val="clear" w:color="auto" w:fill="FBE4D5" w:themeFill="accent2" w:themeFillTint="33"/>
          </w:tcPr>
          <w:p w14:paraId="0D1419F9" w14:textId="77777777" w:rsidR="0097467D" w:rsidRDefault="0097467D">
            <w:r>
              <w:t>$10,000 to $50,000</w:t>
            </w:r>
          </w:p>
        </w:tc>
        <w:tc>
          <w:tcPr>
            <w:tcW w:w="5466" w:type="dxa"/>
            <w:shd w:val="clear" w:color="auto" w:fill="FBE4D5" w:themeFill="accent2" w:themeFillTint="33"/>
          </w:tcPr>
          <w:p w14:paraId="57351602" w14:textId="0BD35268" w:rsidR="0097467D" w:rsidRDefault="0097467D">
            <w:r>
              <w:t xml:space="preserve">Based on $50/hour </w:t>
            </w:r>
            <w:r w:rsidR="00664441">
              <w:t xml:space="preserve">estimated </w:t>
            </w:r>
            <w:r>
              <w:t>rate</w:t>
            </w:r>
            <w:r w:rsidR="00AD34D8">
              <w:t>:</w:t>
            </w:r>
            <w:r w:rsidR="00CD054B">
              <w:t xml:space="preserve"> 1-day training for 25 people is $10K, 1-week training for 25 people is $50,000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2A9A3F8B" w14:textId="77777777" w:rsidR="0097467D" w:rsidRDefault="0097467D"/>
        </w:tc>
        <w:tc>
          <w:tcPr>
            <w:tcW w:w="1620" w:type="dxa"/>
            <w:shd w:val="clear" w:color="auto" w:fill="FBE4D5" w:themeFill="accent2" w:themeFillTint="33"/>
          </w:tcPr>
          <w:p w14:paraId="7A8471C9" w14:textId="77777777" w:rsidR="0097467D" w:rsidRDefault="0097467D"/>
        </w:tc>
      </w:tr>
      <w:tr w:rsidR="002818CE" w14:paraId="313F92C8" w14:textId="77777777" w:rsidTr="00687CB5">
        <w:tc>
          <w:tcPr>
            <w:tcW w:w="2605" w:type="dxa"/>
            <w:shd w:val="clear" w:color="auto" w:fill="auto"/>
          </w:tcPr>
          <w:p w14:paraId="2A950381" w14:textId="77777777" w:rsidR="0097467D" w:rsidRDefault="0097467D">
            <w:r>
              <w:t>Ongoing training/</w:t>
            </w:r>
          </w:p>
          <w:p w14:paraId="31B43CC9" w14:textId="77777777" w:rsidR="0097467D" w:rsidRDefault="0097467D">
            <w:r>
              <w:t>support/consultation</w:t>
            </w:r>
          </w:p>
        </w:tc>
        <w:tc>
          <w:tcPr>
            <w:tcW w:w="1374" w:type="dxa"/>
            <w:shd w:val="clear" w:color="auto" w:fill="auto"/>
          </w:tcPr>
          <w:p w14:paraId="6A8CCB73" w14:textId="77777777" w:rsidR="0097467D" w:rsidRDefault="0097467D">
            <w:r>
              <w:t>$50,000 to $100,000</w:t>
            </w:r>
          </w:p>
        </w:tc>
        <w:tc>
          <w:tcPr>
            <w:tcW w:w="5466" w:type="dxa"/>
            <w:shd w:val="clear" w:color="auto" w:fill="auto"/>
          </w:tcPr>
          <w:p w14:paraId="3665F237" w14:textId="50E8BE24" w:rsidR="0097467D" w:rsidRDefault="0097467D">
            <w:r>
              <w:t xml:space="preserve">For example, contract with the </w:t>
            </w:r>
            <w:hyperlink r:id="rId14" w:history="1">
              <w:r w:rsidRPr="00FD60D6">
                <w:rPr>
                  <w:rStyle w:val="Hyperlink"/>
                </w:rPr>
                <w:t>AIMS Center</w:t>
              </w:r>
            </w:hyperlink>
            <w:r>
              <w:t xml:space="preserve"> to provide training, EBP implementation support</w:t>
            </w:r>
          </w:p>
        </w:tc>
        <w:tc>
          <w:tcPr>
            <w:tcW w:w="1800" w:type="dxa"/>
            <w:shd w:val="clear" w:color="auto" w:fill="auto"/>
          </w:tcPr>
          <w:p w14:paraId="0009EFFE" w14:textId="77777777" w:rsidR="0097467D" w:rsidRDefault="0097467D"/>
        </w:tc>
        <w:tc>
          <w:tcPr>
            <w:tcW w:w="1620" w:type="dxa"/>
            <w:shd w:val="clear" w:color="auto" w:fill="auto"/>
          </w:tcPr>
          <w:p w14:paraId="184885BE" w14:textId="77777777" w:rsidR="0097467D" w:rsidRDefault="0097467D"/>
        </w:tc>
      </w:tr>
      <w:tr w:rsidR="0097467D" w14:paraId="5DAAF557" w14:textId="77777777" w:rsidTr="00687CB5">
        <w:tc>
          <w:tcPr>
            <w:tcW w:w="2605" w:type="dxa"/>
            <w:shd w:val="clear" w:color="auto" w:fill="FBE4D5" w:themeFill="accent2" w:themeFillTint="33"/>
          </w:tcPr>
          <w:p w14:paraId="6EEED219" w14:textId="77777777" w:rsidR="0097467D" w:rsidRDefault="0097467D">
            <w:r>
              <w:t>Training: All Workforce</w:t>
            </w:r>
          </w:p>
        </w:tc>
        <w:tc>
          <w:tcPr>
            <w:tcW w:w="1374" w:type="dxa"/>
            <w:shd w:val="clear" w:color="auto" w:fill="FBE4D5" w:themeFill="accent2" w:themeFillTint="33"/>
          </w:tcPr>
          <w:p w14:paraId="5AFEEFBC" w14:textId="77777777" w:rsidR="0097467D" w:rsidRDefault="0097467D">
            <w:r>
              <w:t>$15,000 to $150,000</w:t>
            </w:r>
          </w:p>
          <w:p w14:paraId="013FD372" w14:textId="77777777" w:rsidR="0097467D" w:rsidRDefault="0097467D"/>
        </w:tc>
        <w:tc>
          <w:tcPr>
            <w:tcW w:w="5466" w:type="dxa"/>
            <w:shd w:val="clear" w:color="auto" w:fill="FBE4D5" w:themeFill="accent2" w:themeFillTint="33"/>
          </w:tcPr>
          <w:p w14:paraId="089F6F38" w14:textId="10974298" w:rsidR="0097467D" w:rsidRDefault="000A4C09">
            <w:r>
              <w:t>Regional training off</w:t>
            </w:r>
            <w:r w:rsidR="00B922A6">
              <w:t>ering with n</w:t>
            </w:r>
            <w:r w:rsidR="0097467D">
              <w:t>o degree/licensure requirement for completion</w:t>
            </w:r>
            <w:r w:rsidR="00B922A6">
              <w:t>/</w:t>
            </w:r>
            <w:r w:rsidR="0097467D">
              <w:t xml:space="preserve">certification, </w:t>
            </w:r>
            <w:proofErr w:type="gramStart"/>
            <w:r w:rsidR="0097467D">
              <w:t>e.g.</w:t>
            </w:r>
            <w:proofErr w:type="gramEnd"/>
            <w:r w:rsidR="0097467D">
              <w:t xml:space="preserve"> Mental Health First Aid, Motivational Interviewing, topics/issues of interest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677A70AA" w14:textId="77777777" w:rsidR="0097467D" w:rsidRDefault="0097467D"/>
        </w:tc>
        <w:tc>
          <w:tcPr>
            <w:tcW w:w="1620" w:type="dxa"/>
            <w:shd w:val="clear" w:color="auto" w:fill="FBE4D5" w:themeFill="accent2" w:themeFillTint="33"/>
          </w:tcPr>
          <w:p w14:paraId="5F410D60" w14:textId="77777777" w:rsidR="0097467D" w:rsidRDefault="0097467D"/>
        </w:tc>
      </w:tr>
      <w:tr w:rsidR="0097467D" w14:paraId="0C45F2C8" w14:textId="77777777" w:rsidTr="00687CB5">
        <w:tc>
          <w:tcPr>
            <w:tcW w:w="2605" w:type="dxa"/>
            <w:shd w:val="clear" w:color="auto" w:fill="auto"/>
          </w:tcPr>
          <w:p w14:paraId="0292DFCE" w14:textId="77777777" w:rsidR="0097467D" w:rsidRDefault="0097467D">
            <w:r>
              <w:t>Training: Master’s/Clinical</w:t>
            </w:r>
          </w:p>
        </w:tc>
        <w:tc>
          <w:tcPr>
            <w:tcW w:w="1374" w:type="dxa"/>
            <w:shd w:val="clear" w:color="auto" w:fill="auto"/>
          </w:tcPr>
          <w:p w14:paraId="57A0831A" w14:textId="77777777" w:rsidR="0097467D" w:rsidRDefault="0097467D">
            <w:r>
              <w:t>$3,000 to $100,000</w:t>
            </w:r>
          </w:p>
        </w:tc>
        <w:tc>
          <w:tcPr>
            <w:tcW w:w="5466" w:type="dxa"/>
            <w:shd w:val="clear" w:color="auto" w:fill="auto"/>
          </w:tcPr>
          <w:p w14:paraId="43D26F2A" w14:textId="1B7275F6" w:rsidR="0097467D" w:rsidRPr="00DE22F7" w:rsidRDefault="00664441">
            <w:r>
              <w:t>Regional training offering of EBP(s) with d</w:t>
            </w:r>
            <w:r w:rsidR="0097467D">
              <w:t xml:space="preserve">egree/licensure requirements for completion and certification, </w:t>
            </w:r>
            <w:proofErr w:type="gramStart"/>
            <w:r w:rsidR="0097467D">
              <w:t>e.g.</w:t>
            </w:r>
            <w:proofErr w:type="gramEnd"/>
            <w:r w:rsidR="0097467D">
              <w:t xml:space="preserve"> PCIT, CBT+, </w:t>
            </w:r>
            <w:r>
              <w:t xml:space="preserve">etc. Would need to identify </w:t>
            </w:r>
            <w:r w:rsidR="00BE118E">
              <w:t xml:space="preserve">specific EBPs </w:t>
            </w:r>
            <w:r w:rsidR="000A4C09">
              <w:t>desired by a critical mass of orgs</w:t>
            </w:r>
          </w:p>
        </w:tc>
        <w:tc>
          <w:tcPr>
            <w:tcW w:w="1800" w:type="dxa"/>
            <w:shd w:val="clear" w:color="auto" w:fill="auto"/>
          </w:tcPr>
          <w:p w14:paraId="7AFF6C41" w14:textId="77777777" w:rsidR="0097467D" w:rsidRDefault="0097467D"/>
        </w:tc>
        <w:tc>
          <w:tcPr>
            <w:tcW w:w="1620" w:type="dxa"/>
            <w:shd w:val="clear" w:color="auto" w:fill="auto"/>
          </w:tcPr>
          <w:p w14:paraId="33E8FD30" w14:textId="77777777" w:rsidR="0097467D" w:rsidRDefault="0097467D"/>
        </w:tc>
      </w:tr>
      <w:tr w:rsidR="0097467D" w14:paraId="1DF6754A" w14:textId="77777777" w:rsidTr="00687CB5">
        <w:tc>
          <w:tcPr>
            <w:tcW w:w="2605" w:type="dxa"/>
            <w:shd w:val="clear" w:color="auto" w:fill="FBE4D5" w:themeFill="accent2" w:themeFillTint="33"/>
          </w:tcPr>
          <w:p w14:paraId="727F9C0C" w14:textId="77777777" w:rsidR="0097467D" w:rsidRDefault="0097467D">
            <w:r>
              <w:t>Training: Scholarships</w:t>
            </w:r>
          </w:p>
        </w:tc>
        <w:tc>
          <w:tcPr>
            <w:tcW w:w="1374" w:type="dxa"/>
            <w:shd w:val="clear" w:color="auto" w:fill="FBE4D5" w:themeFill="accent2" w:themeFillTint="33"/>
          </w:tcPr>
          <w:p w14:paraId="24927DCF" w14:textId="77777777" w:rsidR="0097467D" w:rsidRDefault="0097467D">
            <w:r>
              <w:t>$25,000 to $150,000</w:t>
            </w:r>
          </w:p>
          <w:p w14:paraId="22F13502" w14:textId="77777777" w:rsidR="0097467D" w:rsidRDefault="0097467D"/>
        </w:tc>
        <w:tc>
          <w:tcPr>
            <w:tcW w:w="5466" w:type="dxa"/>
            <w:shd w:val="clear" w:color="auto" w:fill="FBE4D5" w:themeFill="accent2" w:themeFillTint="33"/>
          </w:tcPr>
          <w:p w14:paraId="1A8B5A28" w14:textId="77777777" w:rsidR="0097467D" w:rsidRDefault="0097467D">
            <w:r>
              <w:t xml:space="preserve">Scholarships for individual practitioners to attend relevant trainings </w:t>
            </w:r>
            <w:proofErr w:type="gramStart"/>
            <w:r>
              <w:t>in order to</w:t>
            </w:r>
            <w:proofErr w:type="gramEnd"/>
            <w:r>
              <w:t xml:space="preserve"> pursue proficiency, certification</w:t>
            </w:r>
          </w:p>
        </w:tc>
        <w:tc>
          <w:tcPr>
            <w:tcW w:w="1800" w:type="dxa"/>
            <w:shd w:val="clear" w:color="auto" w:fill="FBE4D5" w:themeFill="accent2" w:themeFillTint="33"/>
          </w:tcPr>
          <w:p w14:paraId="6F0E6E7F" w14:textId="77777777" w:rsidR="0097467D" w:rsidRDefault="0097467D"/>
        </w:tc>
        <w:tc>
          <w:tcPr>
            <w:tcW w:w="1620" w:type="dxa"/>
            <w:shd w:val="clear" w:color="auto" w:fill="FBE4D5" w:themeFill="accent2" w:themeFillTint="33"/>
          </w:tcPr>
          <w:p w14:paraId="17B1E04C" w14:textId="77777777" w:rsidR="0097467D" w:rsidRDefault="0097467D"/>
        </w:tc>
      </w:tr>
      <w:tr w:rsidR="0097467D" w14:paraId="362285B0" w14:textId="77777777" w:rsidTr="00687CB5">
        <w:tc>
          <w:tcPr>
            <w:tcW w:w="2605" w:type="dxa"/>
            <w:shd w:val="clear" w:color="auto" w:fill="auto"/>
          </w:tcPr>
          <w:p w14:paraId="12FE5BC5" w14:textId="77777777" w:rsidR="0097467D" w:rsidRDefault="0097467D">
            <w:r>
              <w:t>Training: Train the Trainer</w:t>
            </w:r>
          </w:p>
        </w:tc>
        <w:tc>
          <w:tcPr>
            <w:tcW w:w="1374" w:type="dxa"/>
            <w:shd w:val="clear" w:color="auto" w:fill="auto"/>
          </w:tcPr>
          <w:p w14:paraId="43135DC6" w14:textId="77777777" w:rsidR="0097467D" w:rsidRDefault="0097467D">
            <w:r>
              <w:t>$10,000 to $100,000</w:t>
            </w:r>
          </w:p>
        </w:tc>
        <w:tc>
          <w:tcPr>
            <w:tcW w:w="5466" w:type="dxa"/>
            <w:shd w:val="clear" w:color="auto" w:fill="auto"/>
          </w:tcPr>
          <w:p w14:paraId="59013A2A" w14:textId="4E44318E" w:rsidR="0097467D" w:rsidRDefault="0097467D">
            <w:r>
              <w:t xml:space="preserve">Build </w:t>
            </w:r>
            <w:r w:rsidR="00902FEC">
              <w:t xml:space="preserve">local </w:t>
            </w:r>
            <w:r>
              <w:t xml:space="preserve">capacity to </w:t>
            </w:r>
            <w:r w:rsidR="00902FEC">
              <w:t xml:space="preserve">regularly </w:t>
            </w:r>
            <w:r>
              <w:t>deliver trainings</w:t>
            </w:r>
            <w:r w:rsidR="009018B0">
              <w:t>. For example:</w:t>
            </w:r>
            <w:r>
              <w:t xml:space="preserve"> MH First Aid (instructor training $3K/person), EBPs that </w:t>
            </w:r>
            <w:r w:rsidR="00C37989">
              <w:t>have</w:t>
            </w:r>
            <w:r>
              <w:t xml:space="preserve"> Train the Trainer </w:t>
            </w:r>
            <w:r w:rsidR="00C37989">
              <w:t>options and</w:t>
            </w:r>
            <w:r>
              <w:t xml:space="preserve"> are of ongoing regional interest</w:t>
            </w:r>
          </w:p>
        </w:tc>
        <w:tc>
          <w:tcPr>
            <w:tcW w:w="1800" w:type="dxa"/>
            <w:shd w:val="clear" w:color="auto" w:fill="auto"/>
          </w:tcPr>
          <w:p w14:paraId="1F2130CE" w14:textId="77777777" w:rsidR="0097467D" w:rsidRDefault="0097467D"/>
        </w:tc>
        <w:tc>
          <w:tcPr>
            <w:tcW w:w="1620" w:type="dxa"/>
            <w:shd w:val="clear" w:color="auto" w:fill="auto"/>
          </w:tcPr>
          <w:p w14:paraId="575A169E" w14:textId="77777777" w:rsidR="0097467D" w:rsidRDefault="0097467D"/>
        </w:tc>
      </w:tr>
    </w:tbl>
    <w:p w14:paraId="41C935D1" w14:textId="77777777" w:rsidR="001742C1" w:rsidRDefault="001742C1" w:rsidP="0388B655">
      <w:pPr>
        <w:rPr>
          <w:b/>
          <w:bCs/>
          <w:sz w:val="32"/>
          <w:szCs w:val="32"/>
        </w:rPr>
      </w:pPr>
    </w:p>
    <w:p w14:paraId="35EA60C3" w14:textId="35A7BDA6" w:rsidR="0388B655" w:rsidRPr="00F734C1" w:rsidRDefault="0388B655" w:rsidP="0388B655">
      <w:pPr>
        <w:rPr>
          <w:b/>
          <w:bCs/>
          <w:sz w:val="32"/>
          <w:szCs w:val="32"/>
        </w:rPr>
      </w:pPr>
      <w:r w:rsidRPr="00F734C1">
        <w:rPr>
          <w:b/>
          <w:bCs/>
          <w:sz w:val="32"/>
          <w:szCs w:val="32"/>
        </w:rPr>
        <w:t>Flexible/Emerging</w:t>
      </w:r>
      <w:r w:rsidR="00864A29">
        <w:rPr>
          <w:b/>
          <w:bCs/>
          <w:sz w:val="32"/>
          <w:szCs w:val="32"/>
        </w:rPr>
        <w:t xml:space="preserve"> Opportunities</w:t>
      </w:r>
      <w:r w:rsidRPr="00F734C1">
        <w:rPr>
          <w:b/>
          <w:bCs/>
          <w:sz w:val="32"/>
          <w:szCs w:val="32"/>
        </w:rPr>
        <w:t>: $123,906</w:t>
      </w:r>
    </w:p>
    <w:p w14:paraId="21D86AC9" w14:textId="195CC8B6" w:rsidR="0388B655" w:rsidRPr="006F5B01" w:rsidRDefault="00864A29" w:rsidP="006F5B01">
      <w:pPr>
        <w:jc w:val="both"/>
        <w:rPr>
          <w:i/>
          <w:iCs/>
        </w:rPr>
      </w:pPr>
      <w:r>
        <w:rPr>
          <w:i/>
          <w:iCs/>
        </w:rPr>
        <w:t>We’ll plan more with these funds in 2023</w:t>
      </w:r>
      <w:r w:rsidR="001E05A9">
        <w:rPr>
          <w:i/>
          <w:iCs/>
        </w:rPr>
        <w:t>,</w:t>
      </w:r>
      <w:r>
        <w:rPr>
          <w:i/>
          <w:iCs/>
        </w:rPr>
        <w:t xml:space="preserve"> as </w:t>
      </w:r>
      <w:r w:rsidR="001E05A9">
        <w:rPr>
          <w:i/>
          <w:iCs/>
        </w:rPr>
        <w:t>timely opportunities emerge, or to enhance above efforts over time.</w:t>
      </w:r>
    </w:p>
    <w:sectPr w:rsidR="0388B655" w:rsidRPr="006F5B01" w:rsidSect="00350DDA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3FC23" w14:textId="77777777" w:rsidR="00B919B9" w:rsidRDefault="00B919B9" w:rsidP="00FB7252">
      <w:pPr>
        <w:spacing w:after="0" w:line="240" w:lineRule="auto"/>
      </w:pPr>
      <w:r>
        <w:separator/>
      </w:r>
    </w:p>
  </w:endnote>
  <w:endnote w:type="continuationSeparator" w:id="0">
    <w:p w14:paraId="25BB30D3" w14:textId="77777777" w:rsidR="00B919B9" w:rsidRDefault="00B919B9" w:rsidP="00FB7252">
      <w:pPr>
        <w:spacing w:after="0" w:line="240" w:lineRule="auto"/>
      </w:pPr>
      <w:r>
        <w:continuationSeparator/>
      </w:r>
    </w:p>
  </w:endnote>
  <w:endnote w:type="continuationNotice" w:id="1">
    <w:p w14:paraId="33CB3A9D" w14:textId="77777777" w:rsidR="00B919B9" w:rsidRDefault="00B919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patia Sans Pro">
    <w:altName w:val="Calibri"/>
    <w:panose1 w:val="020B0604020202020204"/>
    <w:charset w:val="00"/>
    <w:family w:val="swiss"/>
    <w:notTrueType/>
    <w:pitch w:val="variable"/>
    <w:sig w:usb0="60000287" w:usb1="00000003" w:usb2="00000000" w:usb3="00000000" w:csb0="0000019F" w:csb1="00000000"/>
  </w:font>
  <w:font w:name="HypatiaSansPro-Bold">
    <w:panose1 w:val="020B0604020202020204"/>
    <w:charset w:val="00"/>
    <w:family w:val="swiss"/>
    <w:notTrueType/>
    <w:pitch w:val="variable"/>
    <w:sig w:usb0="6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F8654" w14:textId="77777777" w:rsidR="00B919B9" w:rsidRDefault="00B919B9" w:rsidP="00FB7252">
      <w:pPr>
        <w:spacing w:after="0" w:line="240" w:lineRule="auto"/>
      </w:pPr>
      <w:r>
        <w:separator/>
      </w:r>
    </w:p>
  </w:footnote>
  <w:footnote w:type="continuationSeparator" w:id="0">
    <w:p w14:paraId="034EBA08" w14:textId="77777777" w:rsidR="00B919B9" w:rsidRDefault="00B919B9" w:rsidP="00FB7252">
      <w:pPr>
        <w:spacing w:after="0" w:line="240" w:lineRule="auto"/>
      </w:pPr>
      <w:r>
        <w:continuationSeparator/>
      </w:r>
    </w:p>
  </w:footnote>
  <w:footnote w:type="continuationNotice" w:id="1">
    <w:p w14:paraId="7D571A4F" w14:textId="77777777" w:rsidR="00B919B9" w:rsidRDefault="00B919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BCB2" w14:textId="7C59A28E" w:rsidR="00F56754" w:rsidRDefault="00687CB5">
    <w:pPr>
      <w:pStyle w:val="Header"/>
    </w:pPr>
    <w:r w:rsidRPr="005448C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1002E8" wp14:editId="515CB189">
              <wp:simplePos x="0" y="0"/>
              <wp:positionH relativeFrom="page">
                <wp:posOffset>5748443</wp:posOffset>
              </wp:positionH>
              <wp:positionV relativeFrom="page">
                <wp:posOffset>303953</wp:posOffset>
              </wp:positionV>
              <wp:extent cx="3450727" cy="6400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450727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6067CCF" w14:textId="21351618" w:rsidR="00F56754" w:rsidRPr="00687CB5" w:rsidRDefault="00F56754" w:rsidP="00F56754">
                          <w:pPr>
                            <w:pStyle w:val="BasicParagraph"/>
                            <w:spacing w:line="240" w:lineRule="auto"/>
                            <w:jc w:val="right"/>
                            <w:rPr>
                              <w:rFonts w:ascii="Hypatia Sans Pro" w:hAnsi="Hypatia Sans Pro" w:cs="HypatiaSansPro-Bold"/>
                              <w:color w:val="818386"/>
                              <w:szCs w:val="22"/>
                            </w:rPr>
                          </w:pPr>
                          <w:r w:rsidRPr="00687CB5">
                            <w:rPr>
                              <w:rFonts w:ascii="Hypatia Sans Pro" w:hAnsi="Hypatia Sans Pro" w:cs="HypatiaSansPro-Bold"/>
                              <w:color w:val="818386"/>
                              <w:sz w:val="32"/>
                              <w:szCs w:val="32"/>
                            </w:rPr>
                            <w:t>Behavioral Health Forum</w:t>
                          </w:r>
                          <w:r w:rsidRPr="00687CB5">
                            <w:rPr>
                              <w:rFonts w:ascii="Hypatia Sans Pro" w:hAnsi="Hypatia Sans Pro" w:cs="HypatiaSansPro-Bold"/>
                              <w:color w:val="818386"/>
                              <w:sz w:val="32"/>
                              <w:szCs w:val="32"/>
                            </w:rPr>
                            <w:br/>
                          </w:r>
                          <w:r w:rsidRPr="00687CB5">
                            <w:rPr>
                              <w:rFonts w:ascii="Hypatia Sans Pro" w:hAnsi="Hypatia Sans Pro" w:cs="HypatiaSansPro-Bold"/>
                              <w:color w:val="818386"/>
                              <w:szCs w:val="22"/>
                            </w:rPr>
                            <w:t xml:space="preserve">September </w:t>
                          </w:r>
                          <w:r w:rsidR="00687CB5" w:rsidRPr="00687CB5">
                            <w:rPr>
                              <w:rFonts w:ascii="Hypatia Sans Pro" w:hAnsi="Hypatia Sans Pro" w:cs="HypatiaSansPro-Bold"/>
                              <w:color w:val="818386"/>
                              <w:szCs w:val="22"/>
                            </w:rPr>
                            <w:t>7, 2022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002E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52.65pt;margin-top:23.95pt;width:271.7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j+D8IAIAAEwEAAAOAAAAZHJzL2Uyb0RvYy54bWysVMlu2zAQvRfoPxC815JdZ6lgOXATuChg&#13;&#10;JAGcImeaIi2hEocd0pbcr++QkpemPRW9ULNxtveo2V3X1Gyv0FVgcj4epZwpI6GozDbn316WH245&#13;&#10;c16YQtRgVM4PyvG7+ft3s9ZmagIl1IVCRkmMy1qb89J7myWJk6VqhBuBVYacGrARnlTcJgWKlrI3&#13;&#10;dTJJ0+ukBSwsglTOkfWhd/J5zK+1kv5Ja6c8q3NOvfl4Yjw34UzmM5FtUdiykkMb4h+6aERlqOgp&#13;&#10;1YPwgu2w+iNVU0kEB9qPJDQJaF1JFWegacbpm2nWpbAqzkLLcfa0Jvf/0srH/do+I/PdZ+gIwDiE&#13;&#10;syuQ3x3tJmmty4aYsFOXOYoOg3Yam/ClERhdpN0eTvtUnWeSjB+nV+nN5IYzSb7raZrexoUn59sW&#13;&#10;nf+ioGFByDkSXrEDsV85H+qL7BgSihlYVnUdMavNbwYK7C0qgj7cPjccJN9tOrobxA0UB5oaoSeE&#13;&#10;s3JZUQcr4fyzQGIAzUOs9k906BranMMgcVYC/vybPcQTMOTlrCVG5dz92AlUnNVfDUH2aTydBgpG&#13;&#10;ZXp1MyEFLz2bS4/ZNfdApB3T+7EyiiHe10dRIzSvRP5FqEouYSTVzrn0eFTufc90ej5SLRYxjGhn&#13;&#10;hV+ZtZVHuMOGX7pXgXaAwROAj3Bkn8jeoNHH9utf7DzoKkJ13uvAG6JsRHB4XuFNXOox6vwTmP8C&#13;&#10;AAD//wMAUEsDBBQABgAIAAAAIQDVjqch4wAAABABAAAPAAAAZHJzL2Rvd25yZXYueG1sTE/LTsMw&#13;&#10;ELwj8Q/WInFBrQ2Epk3jVAhUCVVwoOUDnHgbR43tKHbT8PdsTuWymtXOziPfjLZlA/ah8U7C41wA&#13;&#10;Q1d53bhaws9hO1sCC1E5rVrvUMIvBtgUtze5yrS/uG8c9rFmJOJCpiSYGLuM81AZtCrMfYeObkff&#13;&#10;WxVp7Wuue3UhcdvyJyEW3KrGkYNRHb4ZrE77s5XwYDrx9Xn8KLd6UZnTLqjUDjsp7+/G9zWN1zWw&#13;&#10;iGO8fsDUgfJDQcFKf3Y6sFbCSrw8E1VCkq6ATYQkWabAygkR4EXO/xcp/gAAAP//AwBQSwECLQAU&#13;&#10;AAYACAAAACEAtoM4kv4AAADhAQAAEwAAAAAAAAAAAAAAAAAAAAAAW0NvbnRlbnRfVHlwZXNdLnht&#13;&#10;bFBLAQItABQABgAIAAAAIQA4/SH/1gAAAJQBAAALAAAAAAAAAAAAAAAAAC8BAABfcmVscy8ucmVs&#13;&#10;c1BLAQItABQABgAIAAAAIQBXj+D8IAIAAEwEAAAOAAAAAAAAAAAAAAAAAC4CAABkcnMvZTJvRG9j&#13;&#10;LnhtbFBLAQItABQABgAIAAAAIQDVjqch4wAAABABAAAPAAAAAAAAAAAAAAAAAHoEAABkcnMvZG93&#13;&#10;bnJldi54bWxQSwUGAAAAAAQABADzAAAAigUAAAAA&#13;&#10;" filled="f" stroked="f">
              <v:textbox>
                <w:txbxContent>
                  <w:p w14:paraId="26067CCF" w14:textId="21351618" w:rsidR="00F56754" w:rsidRPr="00687CB5" w:rsidRDefault="00F56754" w:rsidP="00F56754">
                    <w:pPr>
                      <w:pStyle w:val="BasicParagraph"/>
                      <w:spacing w:line="240" w:lineRule="auto"/>
                      <w:jc w:val="right"/>
                      <w:rPr>
                        <w:rFonts w:ascii="Hypatia Sans Pro" w:hAnsi="Hypatia Sans Pro" w:cs="HypatiaSansPro-Bold"/>
                        <w:color w:val="818386"/>
                        <w:szCs w:val="22"/>
                      </w:rPr>
                    </w:pPr>
                    <w:r w:rsidRPr="00687CB5">
                      <w:rPr>
                        <w:rFonts w:ascii="Hypatia Sans Pro" w:hAnsi="Hypatia Sans Pro" w:cs="HypatiaSansPro-Bold"/>
                        <w:color w:val="818386"/>
                        <w:sz w:val="32"/>
                        <w:szCs w:val="32"/>
                      </w:rPr>
                      <w:t>Behavioral Health Forum</w:t>
                    </w:r>
                    <w:r w:rsidRPr="00687CB5">
                      <w:rPr>
                        <w:rFonts w:ascii="Hypatia Sans Pro" w:hAnsi="Hypatia Sans Pro" w:cs="HypatiaSansPro-Bold"/>
                        <w:color w:val="818386"/>
                        <w:sz w:val="32"/>
                        <w:szCs w:val="32"/>
                      </w:rPr>
                      <w:br/>
                    </w:r>
                    <w:r w:rsidRPr="00687CB5">
                      <w:rPr>
                        <w:rFonts w:ascii="Hypatia Sans Pro" w:hAnsi="Hypatia Sans Pro" w:cs="HypatiaSansPro-Bold"/>
                        <w:color w:val="818386"/>
                        <w:szCs w:val="22"/>
                      </w:rPr>
                      <w:t xml:space="preserve">September </w:t>
                    </w:r>
                    <w:r w:rsidR="00687CB5" w:rsidRPr="00687CB5">
                      <w:rPr>
                        <w:rFonts w:ascii="Hypatia Sans Pro" w:hAnsi="Hypatia Sans Pro" w:cs="HypatiaSansPro-Bold"/>
                        <w:color w:val="818386"/>
                        <w:szCs w:val="22"/>
                      </w:rPr>
                      <w:t>7, 2022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56754" w:rsidRPr="005448CD">
      <w:rPr>
        <w:noProof/>
      </w:rPr>
      <w:drawing>
        <wp:anchor distT="0" distB="0" distL="114300" distR="114300" simplePos="0" relativeHeight="251660288" behindDoc="0" locked="0" layoutInCell="1" allowOverlap="1" wp14:anchorId="641BD836" wp14:editId="763B1A29">
          <wp:simplePos x="0" y="0"/>
          <wp:positionH relativeFrom="page">
            <wp:posOffset>948055</wp:posOffset>
          </wp:positionH>
          <wp:positionV relativeFrom="page">
            <wp:posOffset>344805</wp:posOffset>
          </wp:positionV>
          <wp:extent cx="1151466" cy="558398"/>
          <wp:effectExtent l="0" t="0" r="4445" b="635"/>
          <wp:wrapNone/>
          <wp:docPr id="2" name="Picture 2" descr="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Logo&#10;&#10;Description automatically generated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466" cy="5583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E6D33"/>
    <w:multiLevelType w:val="hybridMultilevel"/>
    <w:tmpl w:val="9816F632"/>
    <w:lvl w:ilvl="0" w:tplc="5A48D6A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D51CD"/>
    <w:multiLevelType w:val="hybridMultilevel"/>
    <w:tmpl w:val="CCE89B7A"/>
    <w:lvl w:ilvl="0" w:tplc="135AC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AA74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7CD3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88A6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C5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88A1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0C7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982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C49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EE700"/>
    <w:multiLevelType w:val="hybridMultilevel"/>
    <w:tmpl w:val="BC84CED8"/>
    <w:lvl w:ilvl="0" w:tplc="CF1C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186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0D3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842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DAB5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C80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A73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A39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08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736C8"/>
    <w:multiLevelType w:val="hybridMultilevel"/>
    <w:tmpl w:val="796ED0F2"/>
    <w:lvl w:ilvl="0" w:tplc="77C2E0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E28C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88BE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4815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9CC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3D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705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E88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60A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BF11F"/>
    <w:multiLevelType w:val="hybridMultilevel"/>
    <w:tmpl w:val="170ECBA6"/>
    <w:lvl w:ilvl="0" w:tplc="5D584B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9218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1EE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63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8C6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FA2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CAA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E488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649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568991">
    <w:abstractNumId w:val="4"/>
  </w:num>
  <w:num w:numId="2" w16cid:durableId="2009284060">
    <w:abstractNumId w:val="2"/>
  </w:num>
  <w:num w:numId="3" w16cid:durableId="1149133427">
    <w:abstractNumId w:val="3"/>
  </w:num>
  <w:num w:numId="4" w16cid:durableId="649821656">
    <w:abstractNumId w:val="1"/>
  </w:num>
  <w:num w:numId="5" w16cid:durableId="653025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05FEE2"/>
    <w:rsid w:val="000120C2"/>
    <w:rsid w:val="000279FC"/>
    <w:rsid w:val="0002986A"/>
    <w:rsid w:val="000569EC"/>
    <w:rsid w:val="000A4C09"/>
    <w:rsid w:val="000A4DA5"/>
    <w:rsid w:val="000B1B4C"/>
    <w:rsid w:val="000C09B3"/>
    <w:rsid w:val="000D3E47"/>
    <w:rsid w:val="000D5FC5"/>
    <w:rsid w:val="00106284"/>
    <w:rsid w:val="001148E0"/>
    <w:rsid w:val="001258C6"/>
    <w:rsid w:val="00152037"/>
    <w:rsid w:val="001742C1"/>
    <w:rsid w:val="00175F62"/>
    <w:rsid w:val="0018099A"/>
    <w:rsid w:val="00181570"/>
    <w:rsid w:val="001C0067"/>
    <w:rsid w:val="001D582E"/>
    <w:rsid w:val="001E05A9"/>
    <w:rsid w:val="001E2922"/>
    <w:rsid w:val="00223C88"/>
    <w:rsid w:val="00256C5D"/>
    <w:rsid w:val="002620EE"/>
    <w:rsid w:val="002818CE"/>
    <w:rsid w:val="00281D2B"/>
    <w:rsid w:val="0028236E"/>
    <w:rsid w:val="0029685A"/>
    <w:rsid w:val="002A605D"/>
    <w:rsid w:val="002B10BE"/>
    <w:rsid w:val="002B50A9"/>
    <w:rsid w:val="002B5DEF"/>
    <w:rsid w:val="002C5F11"/>
    <w:rsid w:val="002C78CD"/>
    <w:rsid w:val="002C7937"/>
    <w:rsid w:val="002E4F69"/>
    <w:rsid w:val="002F2036"/>
    <w:rsid w:val="00304FB3"/>
    <w:rsid w:val="00305337"/>
    <w:rsid w:val="00310DEF"/>
    <w:rsid w:val="0033734D"/>
    <w:rsid w:val="00350DDA"/>
    <w:rsid w:val="00381067"/>
    <w:rsid w:val="003917EA"/>
    <w:rsid w:val="003C0579"/>
    <w:rsid w:val="003E00B6"/>
    <w:rsid w:val="004337BF"/>
    <w:rsid w:val="00446857"/>
    <w:rsid w:val="0045691E"/>
    <w:rsid w:val="004F707A"/>
    <w:rsid w:val="00535DF3"/>
    <w:rsid w:val="00545B94"/>
    <w:rsid w:val="005505FA"/>
    <w:rsid w:val="0055352D"/>
    <w:rsid w:val="00557B8D"/>
    <w:rsid w:val="005800B6"/>
    <w:rsid w:val="00584B28"/>
    <w:rsid w:val="00586D5B"/>
    <w:rsid w:val="005954DA"/>
    <w:rsid w:val="00596E49"/>
    <w:rsid w:val="005B40D4"/>
    <w:rsid w:val="005C7A0C"/>
    <w:rsid w:val="005E7D48"/>
    <w:rsid w:val="00600F94"/>
    <w:rsid w:val="00620894"/>
    <w:rsid w:val="006256C7"/>
    <w:rsid w:val="00664441"/>
    <w:rsid w:val="00685FD8"/>
    <w:rsid w:val="00687CB5"/>
    <w:rsid w:val="006A23AA"/>
    <w:rsid w:val="006B1EFA"/>
    <w:rsid w:val="006D00C0"/>
    <w:rsid w:val="006D4844"/>
    <w:rsid w:val="006F427D"/>
    <w:rsid w:val="006F5B01"/>
    <w:rsid w:val="00714707"/>
    <w:rsid w:val="00736AEE"/>
    <w:rsid w:val="00736DDF"/>
    <w:rsid w:val="00745F39"/>
    <w:rsid w:val="00747090"/>
    <w:rsid w:val="00754229"/>
    <w:rsid w:val="0076567B"/>
    <w:rsid w:val="0078685C"/>
    <w:rsid w:val="007A4A43"/>
    <w:rsid w:val="007C317A"/>
    <w:rsid w:val="007E0B28"/>
    <w:rsid w:val="00800A17"/>
    <w:rsid w:val="008470DE"/>
    <w:rsid w:val="00864A29"/>
    <w:rsid w:val="00885E46"/>
    <w:rsid w:val="008C13DD"/>
    <w:rsid w:val="008C2A67"/>
    <w:rsid w:val="008E2C10"/>
    <w:rsid w:val="009018B0"/>
    <w:rsid w:val="00902FEC"/>
    <w:rsid w:val="00914DD7"/>
    <w:rsid w:val="00932136"/>
    <w:rsid w:val="00951CF7"/>
    <w:rsid w:val="0097467D"/>
    <w:rsid w:val="00992AD8"/>
    <w:rsid w:val="00994DEF"/>
    <w:rsid w:val="00996C92"/>
    <w:rsid w:val="009A500A"/>
    <w:rsid w:val="009A5C81"/>
    <w:rsid w:val="009B51C3"/>
    <w:rsid w:val="009C4056"/>
    <w:rsid w:val="009D2B4F"/>
    <w:rsid w:val="009F3CDE"/>
    <w:rsid w:val="00A62320"/>
    <w:rsid w:val="00A66FFF"/>
    <w:rsid w:val="00A904BB"/>
    <w:rsid w:val="00AB2FE2"/>
    <w:rsid w:val="00AC7A03"/>
    <w:rsid w:val="00AD2D1A"/>
    <w:rsid w:val="00AD34D8"/>
    <w:rsid w:val="00B16E8A"/>
    <w:rsid w:val="00B3170B"/>
    <w:rsid w:val="00B31FE3"/>
    <w:rsid w:val="00B45FFF"/>
    <w:rsid w:val="00B65BDC"/>
    <w:rsid w:val="00B67E59"/>
    <w:rsid w:val="00B919B9"/>
    <w:rsid w:val="00B922A6"/>
    <w:rsid w:val="00B95BF9"/>
    <w:rsid w:val="00BC08B8"/>
    <w:rsid w:val="00BC33D8"/>
    <w:rsid w:val="00BC3852"/>
    <w:rsid w:val="00BC3D4B"/>
    <w:rsid w:val="00BC65DD"/>
    <w:rsid w:val="00BE118E"/>
    <w:rsid w:val="00C02FD5"/>
    <w:rsid w:val="00C10094"/>
    <w:rsid w:val="00C20957"/>
    <w:rsid w:val="00C20FB6"/>
    <w:rsid w:val="00C33C6F"/>
    <w:rsid w:val="00C37989"/>
    <w:rsid w:val="00C53B06"/>
    <w:rsid w:val="00CA7797"/>
    <w:rsid w:val="00CB2C8E"/>
    <w:rsid w:val="00CC5C19"/>
    <w:rsid w:val="00CC6F4D"/>
    <w:rsid w:val="00CD054B"/>
    <w:rsid w:val="00CE3637"/>
    <w:rsid w:val="00D047C8"/>
    <w:rsid w:val="00D05CCF"/>
    <w:rsid w:val="00D42826"/>
    <w:rsid w:val="00D56AB7"/>
    <w:rsid w:val="00D57636"/>
    <w:rsid w:val="00D76D5C"/>
    <w:rsid w:val="00DC5059"/>
    <w:rsid w:val="00DE22F7"/>
    <w:rsid w:val="00DE2796"/>
    <w:rsid w:val="00E0452A"/>
    <w:rsid w:val="00E50C30"/>
    <w:rsid w:val="00EA27F8"/>
    <w:rsid w:val="00EA4B35"/>
    <w:rsid w:val="00EB040F"/>
    <w:rsid w:val="00EF0A1F"/>
    <w:rsid w:val="00EF57BA"/>
    <w:rsid w:val="00EF696B"/>
    <w:rsid w:val="00F03777"/>
    <w:rsid w:val="00F1232A"/>
    <w:rsid w:val="00F3575F"/>
    <w:rsid w:val="00F56754"/>
    <w:rsid w:val="00F734C1"/>
    <w:rsid w:val="00F913BC"/>
    <w:rsid w:val="00F96527"/>
    <w:rsid w:val="00FB7252"/>
    <w:rsid w:val="00FD60D6"/>
    <w:rsid w:val="00FF2589"/>
    <w:rsid w:val="0162963A"/>
    <w:rsid w:val="0212912E"/>
    <w:rsid w:val="0388B655"/>
    <w:rsid w:val="04F72DAD"/>
    <w:rsid w:val="0795FD45"/>
    <w:rsid w:val="0854696F"/>
    <w:rsid w:val="0897B6EA"/>
    <w:rsid w:val="0C2E8F13"/>
    <w:rsid w:val="1066700F"/>
    <w:rsid w:val="12D4ED80"/>
    <w:rsid w:val="1405FEE2"/>
    <w:rsid w:val="16154516"/>
    <w:rsid w:val="17672306"/>
    <w:rsid w:val="18F0EC6D"/>
    <w:rsid w:val="1902F367"/>
    <w:rsid w:val="1E460235"/>
    <w:rsid w:val="20209C48"/>
    <w:rsid w:val="221143C8"/>
    <w:rsid w:val="27853456"/>
    <w:rsid w:val="2ABCD518"/>
    <w:rsid w:val="311D0CF3"/>
    <w:rsid w:val="319BB447"/>
    <w:rsid w:val="34948172"/>
    <w:rsid w:val="3534D0D7"/>
    <w:rsid w:val="3690AE0E"/>
    <w:rsid w:val="37531838"/>
    <w:rsid w:val="3780982A"/>
    <w:rsid w:val="3942E194"/>
    <w:rsid w:val="3EE5343A"/>
    <w:rsid w:val="40641A1A"/>
    <w:rsid w:val="46AFE8D6"/>
    <w:rsid w:val="473A3890"/>
    <w:rsid w:val="480DEBC6"/>
    <w:rsid w:val="4C74BC41"/>
    <w:rsid w:val="4D465F46"/>
    <w:rsid w:val="50356F73"/>
    <w:rsid w:val="513C4795"/>
    <w:rsid w:val="54EADC8C"/>
    <w:rsid w:val="5644A1FF"/>
    <w:rsid w:val="5BD2BEE9"/>
    <w:rsid w:val="5C270641"/>
    <w:rsid w:val="5F417C94"/>
    <w:rsid w:val="63C56E23"/>
    <w:rsid w:val="64BDF3F0"/>
    <w:rsid w:val="65B974EC"/>
    <w:rsid w:val="68F115AE"/>
    <w:rsid w:val="6C0F8E13"/>
    <w:rsid w:val="6F96F8F3"/>
    <w:rsid w:val="7126C735"/>
    <w:rsid w:val="766A5F8F"/>
    <w:rsid w:val="76AA334C"/>
    <w:rsid w:val="790A19A4"/>
    <w:rsid w:val="7BD404B7"/>
    <w:rsid w:val="7D2BF780"/>
    <w:rsid w:val="7DB029A2"/>
    <w:rsid w:val="7E1ACCB5"/>
    <w:rsid w:val="7E1BADAD"/>
    <w:rsid w:val="7F2F9651"/>
    <w:rsid w:val="7F69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05FEE2"/>
  <w15:chartTrackingRefBased/>
  <w15:docId w15:val="{C2DC28E1-AB89-C844-98B4-4976CB40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D60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60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252"/>
  </w:style>
  <w:style w:type="paragraph" w:styleId="Footer">
    <w:name w:val="footer"/>
    <w:basedOn w:val="Normal"/>
    <w:link w:val="FooterChar"/>
    <w:uiPriority w:val="99"/>
    <w:unhideWhenUsed/>
    <w:rsid w:val="00FB72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252"/>
  </w:style>
  <w:style w:type="paragraph" w:customStyle="1" w:styleId="BasicParagraph">
    <w:name w:val="[Basic Paragraph]"/>
    <w:basedOn w:val="Normal"/>
    <w:uiPriority w:val="99"/>
    <w:rsid w:val="00F5675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PGothic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etterhealthtogether.org/bold-solutions-content/bh-supervision-funding-202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etterhealthtogether.org/s/BH-Forum-Guiding-Principles-and-Rubric_May-2022-pxa6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ims.uw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e18fef-7c41-4b4e-82ef-789d9b1eb63e" xsi:nil="true"/>
    <lcf76f155ced4ddcb4097134ff3c332f xmlns="bdaff1d6-b7f0-484c-805b-a15add6d94c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8E3C59877A4458FED8BBBB7031701" ma:contentTypeVersion="15" ma:contentTypeDescription="Create a new document." ma:contentTypeScope="" ma:versionID="73bd611739d05fc4fe4f9377186cc504">
  <xsd:schema xmlns:xsd="http://www.w3.org/2001/XMLSchema" xmlns:xs="http://www.w3.org/2001/XMLSchema" xmlns:p="http://schemas.microsoft.com/office/2006/metadata/properties" xmlns:ns2="3be18fef-7c41-4b4e-82ef-789d9b1eb63e" xmlns:ns3="bdaff1d6-b7f0-484c-805b-a15add6d94c6" targetNamespace="http://schemas.microsoft.com/office/2006/metadata/properties" ma:root="true" ma:fieldsID="cbb8b4acf09345f8f7b04fa6ada3bf5f" ns2:_="" ns3:_="">
    <xsd:import namespace="3be18fef-7c41-4b4e-82ef-789d9b1eb63e"/>
    <xsd:import namespace="bdaff1d6-b7f0-484c-805b-a15add6d94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e18fef-7c41-4b4e-82ef-789d9b1eb6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9cdcc8c-716b-4dda-a476-62d8f97b1bee}" ma:internalName="TaxCatchAll" ma:showField="CatchAllData" ma:web="3be18fef-7c41-4b4e-82ef-789d9b1eb6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ff1d6-b7f0-484c-805b-a15add6d9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754a7a7f-1ca1-47ef-83e9-df8cba72a9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A960A-3942-4A84-812A-EDE024357E88}">
  <ds:schemaRefs>
    <ds:schemaRef ds:uri="http://schemas.microsoft.com/office/2006/metadata/properties"/>
    <ds:schemaRef ds:uri="http://schemas.microsoft.com/office/infopath/2007/PartnerControls"/>
    <ds:schemaRef ds:uri="3be18fef-7c41-4b4e-82ef-789d9b1eb63e"/>
    <ds:schemaRef ds:uri="bdaff1d6-b7f0-484c-805b-a15add6d94c6"/>
  </ds:schemaRefs>
</ds:datastoreItem>
</file>

<file path=customXml/itemProps2.xml><?xml version="1.0" encoding="utf-8"?>
<ds:datastoreItem xmlns:ds="http://schemas.openxmlformats.org/officeDocument/2006/customXml" ds:itemID="{B3A137DC-53B0-5646-A4E1-D83D05EEC9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500F8DB-4A66-4592-AAFD-0C217D0D4A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e18fef-7c41-4b4e-82ef-789d9b1eb63e"/>
    <ds:schemaRef ds:uri="bdaff1d6-b7f0-484c-805b-a15add6d94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28B9B5-B968-494D-8CFC-CCCBBEB25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Klaassen</dc:creator>
  <cp:keywords/>
  <dc:description/>
  <cp:lastModifiedBy>Hannah Klaassen</cp:lastModifiedBy>
  <cp:revision>148</cp:revision>
  <dcterms:created xsi:type="dcterms:W3CDTF">2022-08-18T23:16:00Z</dcterms:created>
  <dcterms:modified xsi:type="dcterms:W3CDTF">2022-09-05T22:04:00Z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0x010100F0F8E3C59877A4458FED8BBBB7031701</vt:lpwstr>
  </property>
  <property fmtid="{D5CDD505-2E9C-101B-9397-08002B2CF9AE}" pid="3" name="MediaServiceImageTags">
    <vt:lpwstr/>
  </property>
</Properties>
</file>